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15231" w14:paraId="5046B8B3" w14:textId="77777777" w:rsidTr="00364B8A">
        <w:tc>
          <w:tcPr>
            <w:tcW w:w="4814" w:type="dxa"/>
          </w:tcPr>
          <w:p w14:paraId="5CE7469E" w14:textId="77777777" w:rsidR="00315231" w:rsidRDefault="00315231" w:rsidP="00364B8A">
            <w:pPr>
              <w:rPr>
                <w:b/>
                <w:bCs/>
              </w:rPr>
            </w:pPr>
            <w:r>
              <w:rPr>
                <w:noProof/>
              </w:rPr>
              <w:drawing>
                <wp:inline distT="0" distB="0" distL="0" distR="0" wp14:anchorId="78C1B32A" wp14:editId="3A03486C">
                  <wp:extent cx="1543050" cy="626110"/>
                  <wp:effectExtent l="0" t="0" r="0" b="2540"/>
                  <wp:docPr id="3" name="Immagine 1" descr="http://www.apiceuropa.com/wp2/wp-content/uploads/2016/12/C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http://www.apiceuropa.com/wp2/wp-content/uploads/2016/12/CENSIS.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626110"/>
                          </a:xfrm>
                          <a:prstGeom prst="rect">
                            <a:avLst/>
                          </a:prstGeom>
                          <a:noFill/>
                          <a:ln>
                            <a:noFill/>
                          </a:ln>
                        </pic:spPr>
                      </pic:pic>
                    </a:graphicData>
                  </a:graphic>
                </wp:inline>
              </w:drawing>
            </w:r>
          </w:p>
        </w:tc>
        <w:tc>
          <w:tcPr>
            <w:tcW w:w="4814" w:type="dxa"/>
          </w:tcPr>
          <w:p w14:paraId="2F8D06B2" w14:textId="77777777" w:rsidR="00315231" w:rsidRDefault="00315231" w:rsidP="00364B8A">
            <w:pPr>
              <w:jc w:val="right"/>
              <w:rPr>
                <w:b/>
                <w:bCs/>
              </w:rPr>
            </w:pPr>
            <w:r>
              <w:rPr>
                <w:noProof/>
              </w:rPr>
              <w:drawing>
                <wp:inline distT="0" distB="0" distL="0" distR="0" wp14:anchorId="2AFE1BF2" wp14:editId="7182DC0B">
                  <wp:extent cx="2390140" cy="571500"/>
                  <wp:effectExtent l="0" t="0" r="10160" b="0"/>
                  <wp:docPr id="4" name="Immagine 1" descr="Confcooperative">
                    <a:hlinkClick xmlns:a="http://schemas.openxmlformats.org/drawingml/2006/main" r:id="rId6" tooltip="&quot;Confcooperativ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Confcooperative">
                            <a:hlinkClick r:id="rId6" tooltip="&quot;Confcooperative&quot; "/>
                          </pic:cNvPr>
                          <pic:cNvPicPr>
                            <a:picLocks noChangeAspect="1"/>
                          </pic:cNvPicPr>
                        </pic:nvPicPr>
                        <pic:blipFill>
                          <a:blip r:embed="rId7" r:link="rId8" cstate="print"/>
                          <a:srcRect/>
                          <a:stretch>
                            <a:fillRect/>
                          </a:stretch>
                        </pic:blipFill>
                        <pic:spPr bwMode="auto">
                          <a:xfrm>
                            <a:off x="0" y="0"/>
                            <a:ext cx="2390140" cy="571500"/>
                          </a:xfrm>
                          <a:prstGeom prst="rect">
                            <a:avLst/>
                          </a:prstGeom>
                          <a:noFill/>
                          <a:ln w="9525">
                            <a:noFill/>
                            <a:miter lim="800000"/>
                            <a:headEnd/>
                            <a:tailEnd/>
                          </a:ln>
                        </pic:spPr>
                      </pic:pic>
                    </a:graphicData>
                  </a:graphic>
                </wp:inline>
              </w:drawing>
            </w:r>
          </w:p>
        </w:tc>
      </w:tr>
    </w:tbl>
    <w:p w14:paraId="4428834B" w14:textId="77777777" w:rsidR="00315231" w:rsidRDefault="00315231" w:rsidP="00315231">
      <w:pPr>
        <w:jc w:val="both"/>
        <w:rPr>
          <w:b/>
          <w:bCs/>
        </w:rPr>
      </w:pPr>
    </w:p>
    <w:p w14:paraId="6141AD09" w14:textId="373F143B" w:rsidR="00315231" w:rsidRDefault="00315231" w:rsidP="00B744E2">
      <w:pPr>
        <w:rPr>
          <w:b/>
          <w:bCs/>
          <w:color w:val="FF0000"/>
          <w:sz w:val="40"/>
          <w:szCs w:val="40"/>
        </w:rPr>
      </w:pPr>
      <w:r>
        <w:rPr>
          <w:b/>
          <w:bCs/>
        </w:rPr>
        <w:t xml:space="preserve">Roma, 27 luglio 2023 </w:t>
      </w:r>
      <w:proofErr w:type="gramStart"/>
      <w:r w:rsidR="00B744E2">
        <w:rPr>
          <w:b/>
          <w:bCs/>
        </w:rPr>
        <w:t xml:space="preserve">   </w:t>
      </w:r>
      <w:r w:rsidRPr="003D2275">
        <w:rPr>
          <w:b/>
          <w:bCs/>
          <w:color w:val="FF0000"/>
          <w:sz w:val="40"/>
          <w:szCs w:val="40"/>
        </w:rPr>
        <w:t>(</w:t>
      </w:r>
      <w:proofErr w:type="gramEnd"/>
      <w:r w:rsidRPr="003D2275">
        <w:rPr>
          <w:b/>
          <w:bCs/>
          <w:color w:val="FF0000"/>
          <w:sz w:val="40"/>
          <w:szCs w:val="40"/>
        </w:rPr>
        <w:t>EMBARGO 27 luglio ORE 930)</w:t>
      </w:r>
    </w:p>
    <w:p w14:paraId="512BE912" w14:textId="77777777" w:rsidR="00B744E2" w:rsidRPr="00F312A4" w:rsidRDefault="00B744E2" w:rsidP="00315231">
      <w:pPr>
        <w:jc w:val="both"/>
        <w:rPr>
          <w:b/>
          <w:bCs/>
          <w:color w:val="FF0000"/>
          <w:sz w:val="20"/>
          <w:szCs w:val="20"/>
        </w:rPr>
      </w:pPr>
    </w:p>
    <w:p w14:paraId="787CAFAD" w14:textId="04A64D0F" w:rsidR="00315231" w:rsidRDefault="00315231" w:rsidP="00315231">
      <w:pPr>
        <w:jc w:val="center"/>
        <w:rPr>
          <w:b/>
          <w:bCs/>
        </w:rPr>
      </w:pPr>
      <w:r w:rsidRPr="004B3CAA">
        <w:rPr>
          <w:b/>
          <w:bCs/>
        </w:rPr>
        <w:t>FOCUS CENSIS CONFCOOPERATIVE</w:t>
      </w:r>
      <w:r w:rsidR="00B744E2">
        <w:rPr>
          <w:b/>
          <w:bCs/>
        </w:rPr>
        <w:t xml:space="preserve">: </w:t>
      </w:r>
      <w:r w:rsidRPr="003B0904">
        <w:rPr>
          <w:b/>
          <w:bCs/>
        </w:rPr>
        <w:t>L’Italia fa i conti con i tassi di interesse</w:t>
      </w:r>
    </w:p>
    <w:p w14:paraId="06BF42BE" w14:textId="29D44C4E" w:rsidR="00B744E2" w:rsidRPr="003B0904" w:rsidRDefault="00E46816" w:rsidP="00315231">
      <w:pPr>
        <w:jc w:val="center"/>
        <w:rPr>
          <w:b/>
          <w:bCs/>
        </w:rPr>
      </w:pPr>
      <w:r>
        <w:rPr>
          <w:b/>
          <w:bCs/>
        </w:rPr>
        <w:t xml:space="preserve">Maurizio </w:t>
      </w:r>
      <w:r w:rsidR="00C6742F">
        <w:rPr>
          <w:b/>
          <w:bCs/>
        </w:rPr>
        <w:t>Gardini</w:t>
      </w:r>
      <w:r>
        <w:rPr>
          <w:b/>
          <w:bCs/>
        </w:rPr>
        <w:t>, presidente Confcooperative</w:t>
      </w:r>
      <w:r w:rsidR="00C6742F">
        <w:rPr>
          <w:b/>
          <w:bCs/>
        </w:rPr>
        <w:t xml:space="preserve"> </w:t>
      </w:r>
    </w:p>
    <w:p w14:paraId="626C6F30" w14:textId="77777777" w:rsidR="00315231" w:rsidRDefault="00315231" w:rsidP="00315231">
      <w:pPr>
        <w:jc w:val="center"/>
        <w:rPr>
          <w:b/>
          <w:bCs/>
        </w:rPr>
      </w:pPr>
      <w:r>
        <w:rPr>
          <w:b/>
          <w:bCs/>
        </w:rPr>
        <w:t xml:space="preserve">«In Italia tassi e inflazione </w:t>
      </w:r>
      <w:r w:rsidRPr="004B3CAA">
        <w:rPr>
          <w:b/>
          <w:bCs/>
        </w:rPr>
        <w:t>brucia</w:t>
      </w:r>
      <w:r>
        <w:rPr>
          <w:b/>
          <w:bCs/>
        </w:rPr>
        <w:t>no</w:t>
      </w:r>
      <w:r w:rsidRPr="004B3CAA">
        <w:rPr>
          <w:b/>
          <w:bCs/>
        </w:rPr>
        <w:t xml:space="preserve"> 693 miliard</w:t>
      </w:r>
      <w:r>
        <w:rPr>
          <w:b/>
          <w:bCs/>
        </w:rPr>
        <w:t xml:space="preserve">i. Potere d’acquisto giù di </w:t>
      </w:r>
      <w:proofErr w:type="gramStart"/>
      <w:r>
        <w:rPr>
          <w:b/>
          <w:bCs/>
        </w:rPr>
        <w:t>100</w:t>
      </w:r>
      <w:proofErr w:type="gramEnd"/>
      <w:r>
        <w:rPr>
          <w:b/>
          <w:bCs/>
        </w:rPr>
        <w:t xml:space="preserve"> miliardi» </w:t>
      </w:r>
    </w:p>
    <w:p w14:paraId="74F281A4" w14:textId="77777777" w:rsidR="00315231" w:rsidRDefault="00315231" w:rsidP="00315231">
      <w:pPr>
        <w:jc w:val="center"/>
        <w:rPr>
          <w:b/>
          <w:bCs/>
        </w:rPr>
      </w:pPr>
      <w:r>
        <w:rPr>
          <w:b/>
          <w:bCs/>
        </w:rPr>
        <w:t xml:space="preserve">Mutui, 1 famiglia su 5 ha saltato almeno una rata </w:t>
      </w:r>
    </w:p>
    <w:p w14:paraId="16645E6D" w14:textId="77777777" w:rsidR="00315231" w:rsidRPr="001C5E48" w:rsidRDefault="00315231" w:rsidP="00315231">
      <w:pPr>
        <w:jc w:val="center"/>
        <w:rPr>
          <w:b/>
          <w:bCs/>
          <w:sz w:val="20"/>
          <w:szCs w:val="20"/>
        </w:rPr>
      </w:pPr>
      <w:r>
        <w:rPr>
          <w:b/>
          <w:bCs/>
          <w:sz w:val="20"/>
          <w:szCs w:val="20"/>
        </w:rPr>
        <w:t>Conto</w:t>
      </w:r>
      <w:r w:rsidRPr="001C5E48">
        <w:rPr>
          <w:b/>
          <w:bCs/>
          <w:sz w:val="20"/>
          <w:szCs w:val="20"/>
        </w:rPr>
        <w:t xml:space="preserve"> salat</w:t>
      </w:r>
      <w:r>
        <w:rPr>
          <w:b/>
          <w:bCs/>
          <w:sz w:val="20"/>
          <w:szCs w:val="20"/>
        </w:rPr>
        <w:t>o</w:t>
      </w:r>
      <w:r w:rsidRPr="001C5E48">
        <w:rPr>
          <w:b/>
          <w:bCs/>
          <w:sz w:val="20"/>
          <w:szCs w:val="20"/>
        </w:rPr>
        <w:t xml:space="preserve"> per gli interessi sul debito: 90 miliardi nel 2024, saranno 100 nel 2026 </w:t>
      </w:r>
    </w:p>
    <w:p w14:paraId="23873A2A" w14:textId="77777777" w:rsidR="00315231" w:rsidRPr="00B62D42" w:rsidRDefault="00315231" w:rsidP="00315231">
      <w:pPr>
        <w:jc w:val="center"/>
        <w:rPr>
          <w:b/>
          <w:bCs/>
          <w:sz w:val="20"/>
          <w:szCs w:val="20"/>
        </w:rPr>
      </w:pPr>
    </w:p>
    <w:p w14:paraId="15CF2A70" w14:textId="77777777" w:rsidR="00315231" w:rsidRPr="004B3CAA" w:rsidRDefault="00315231" w:rsidP="00315231">
      <w:pPr>
        <w:jc w:val="both"/>
      </w:pPr>
      <w:r w:rsidRPr="004B3CAA">
        <w:t xml:space="preserve">«La BCE sta provando a contrastare l’inflazione e a difendere l’euro dalla svalutazione rispetto </w:t>
      </w:r>
      <w:r>
        <w:t xml:space="preserve">al </w:t>
      </w:r>
      <w:r w:rsidRPr="004B3CAA">
        <w:t>dollaro attraverso l’aumento dei tassi di interesse. Questa politica monetaria</w:t>
      </w:r>
      <w:r>
        <w:t>,</w:t>
      </w:r>
      <w:r w:rsidRPr="004B3CAA">
        <w:t xml:space="preserve"> però</w:t>
      </w:r>
      <w:r>
        <w:t>,</w:t>
      </w:r>
      <w:r w:rsidRPr="004B3CAA">
        <w:t xml:space="preserve"> rappresenta una tassa sul macinato per famiglie e imprese. L’impennata dei tassi di interesse</w:t>
      </w:r>
      <w:r>
        <w:t xml:space="preserve"> e l’inflazione</w:t>
      </w:r>
      <w:r w:rsidRPr="004B3CAA">
        <w:t xml:space="preserve"> ha</w:t>
      </w:r>
      <w:r>
        <w:t>nno</w:t>
      </w:r>
      <w:r w:rsidRPr="004B3CAA">
        <w:t xml:space="preserve"> bruciato, infatti, 693 miliardi di ricchezza finanziaria </w:t>
      </w:r>
      <w:r>
        <w:t xml:space="preserve">delle famiglie. </w:t>
      </w:r>
      <w:r w:rsidRPr="005431B3">
        <w:t>E lo scorso anno il potere d’acquisto delle famiglie si è ridotto di 100 miliardi di euro: almeno 3.800 euro a famiglia su base annua</w:t>
      </w:r>
      <w:r>
        <w:rPr>
          <w:b/>
          <w:bCs/>
          <w:color w:val="0070C0"/>
        </w:rPr>
        <w:t xml:space="preserve"> </w:t>
      </w:r>
      <w:r w:rsidRPr="004B3CAA">
        <w:t>(</w:t>
      </w:r>
      <w:r w:rsidRPr="004B3CAA">
        <w:rPr>
          <w:b/>
          <w:bCs/>
          <w:sz w:val="20"/>
          <w:szCs w:val="20"/>
        </w:rPr>
        <w:t>Tab.</w:t>
      </w:r>
      <w:r>
        <w:rPr>
          <w:b/>
          <w:bCs/>
          <w:sz w:val="20"/>
          <w:szCs w:val="20"/>
        </w:rPr>
        <w:t>1</w:t>
      </w:r>
      <w:r w:rsidRPr="004B3CAA">
        <w:t xml:space="preserve">)». Lo dice </w:t>
      </w:r>
      <w:r w:rsidRPr="004B3CAA">
        <w:rPr>
          <w:b/>
          <w:bCs/>
        </w:rPr>
        <w:t>Maurizio Gardini, presidente Confcooperative commentando il focus Censis</w:t>
      </w:r>
      <w:r w:rsidRPr="004B3CAA">
        <w:t xml:space="preserve"> </w:t>
      </w:r>
      <w:r w:rsidRPr="004B3CAA">
        <w:rPr>
          <w:b/>
          <w:bCs/>
        </w:rPr>
        <w:t xml:space="preserve">– Confcooperative “L’Italia fa i conti con i tassi d’interesse”. </w:t>
      </w:r>
    </w:p>
    <w:p w14:paraId="479BC19C" w14:textId="77777777" w:rsidR="00315231" w:rsidRDefault="00315231" w:rsidP="00315231">
      <w:pPr>
        <w:spacing w:before="120" w:after="120"/>
        <w:jc w:val="both"/>
      </w:pPr>
      <w:r w:rsidRPr="00515F1E">
        <w:t>L’</w:t>
      </w:r>
      <w:r w:rsidRPr="00515F1E">
        <w:rPr>
          <w:b/>
          <w:bCs/>
        </w:rPr>
        <w:t>impatto sarebbe stato molto più pesante senza gli interventi governativi</w:t>
      </w:r>
      <w:r w:rsidRPr="004B3CAA">
        <w:t xml:space="preserve">: nelle analisi operate dall’Ufficio Parlamentare di Bilancio, l’ammontare delle misure a favore di famiglie e imprese e di contrasto all’inflazione (riduzione accise sui carburanti, bonus sociali, esoneri contributivi, crediti d’imposta, ecc.) </w:t>
      </w:r>
      <w:r w:rsidRPr="00E34758">
        <w:rPr>
          <w:b/>
          <w:bCs/>
        </w:rPr>
        <w:t>ha raggiunto i 119 miliardi di euro</w:t>
      </w:r>
      <w:r w:rsidRPr="004B3CAA">
        <w:t>: 5,6 miliardi nel 2021, 70 miliardi nel 2022, 35,1 nel 2023. (Altri 8,2 miliardi avranno corso nel prossimo biennio 2024-2025).</w:t>
      </w:r>
    </w:p>
    <w:p w14:paraId="3D5F5CFB" w14:textId="77777777" w:rsidR="00315231" w:rsidRPr="002E2F4B" w:rsidRDefault="00315231" w:rsidP="00315231">
      <w:pPr>
        <w:spacing w:before="240" w:after="120"/>
        <w:jc w:val="both"/>
        <w:rPr>
          <w:b/>
          <w:bCs/>
          <w:sz w:val="20"/>
          <w:szCs w:val="20"/>
        </w:rPr>
      </w:pPr>
      <w:r w:rsidRPr="002E2F4B">
        <w:rPr>
          <w:b/>
          <w:bCs/>
          <w:sz w:val="20"/>
          <w:szCs w:val="20"/>
        </w:rPr>
        <w:t xml:space="preserve">Tab. 1 – Reddito, potere d’acquisto e ricchezza </w:t>
      </w:r>
      <w:r>
        <w:rPr>
          <w:b/>
          <w:bCs/>
          <w:sz w:val="20"/>
          <w:szCs w:val="20"/>
        </w:rPr>
        <w:t xml:space="preserve">finanziaria </w:t>
      </w:r>
      <w:r w:rsidRPr="002E2F4B">
        <w:rPr>
          <w:b/>
          <w:bCs/>
          <w:sz w:val="20"/>
          <w:szCs w:val="20"/>
        </w:rPr>
        <w:t xml:space="preserve">netta delle famiglie falciati dall’inflazione </w:t>
      </w:r>
      <w:r w:rsidRPr="002E2F4B">
        <w:rPr>
          <w:i/>
          <w:iCs/>
          <w:sz w:val="20"/>
          <w:szCs w:val="20"/>
        </w:rPr>
        <w:t>(var. % 2022-2021 e var. ass. in mld €)</w:t>
      </w:r>
    </w:p>
    <w:tbl>
      <w:tblPr>
        <w:tblStyle w:val="Grigliatabella"/>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0"/>
        <w:gridCol w:w="2118"/>
      </w:tblGrid>
      <w:tr w:rsidR="00315231" w:rsidRPr="002E2F4B" w14:paraId="3B2427F6" w14:textId="77777777" w:rsidTr="00364B8A">
        <w:trPr>
          <w:trHeight w:val="510"/>
        </w:trPr>
        <w:tc>
          <w:tcPr>
            <w:tcW w:w="3901" w:type="pct"/>
            <w:tcBorders>
              <w:top w:val="single" w:sz="4" w:space="0" w:color="auto"/>
              <w:left w:val="nil"/>
              <w:bottom w:val="single" w:sz="4" w:space="0" w:color="auto"/>
              <w:right w:val="nil"/>
            </w:tcBorders>
            <w:vAlign w:val="center"/>
            <w:hideMark/>
          </w:tcPr>
          <w:p w14:paraId="0E7EE4D3" w14:textId="77777777" w:rsidR="00315231" w:rsidRPr="002E2F4B" w:rsidRDefault="00315231" w:rsidP="00364B8A">
            <w:pPr>
              <w:rPr>
                <w:sz w:val="20"/>
                <w:szCs w:val="20"/>
                <w:lang w:eastAsia="en-US"/>
              </w:rPr>
            </w:pPr>
            <w:r w:rsidRPr="002E2F4B">
              <w:rPr>
                <w:sz w:val="20"/>
                <w:szCs w:val="20"/>
                <w:lang w:eastAsia="en-US"/>
              </w:rPr>
              <w:t>Indicatori</w:t>
            </w:r>
          </w:p>
        </w:tc>
        <w:tc>
          <w:tcPr>
            <w:tcW w:w="1099" w:type="pct"/>
            <w:tcBorders>
              <w:top w:val="single" w:sz="4" w:space="0" w:color="auto"/>
              <w:left w:val="nil"/>
              <w:bottom w:val="single" w:sz="4" w:space="0" w:color="auto"/>
              <w:right w:val="nil"/>
            </w:tcBorders>
            <w:noWrap/>
            <w:vAlign w:val="center"/>
            <w:hideMark/>
          </w:tcPr>
          <w:p w14:paraId="351D2BC0" w14:textId="77777777" w:rsidR="00315231" w:rsidRPr="002E2F4B" w:rsidRDefault="00315231" w:rsidP="00364B8A">
            <w:pPr>
              <w:jc w:val="center"/>
              <w:rPr>
                <w:sz w:val="20"/>
                <w:szCs w:val="20"/>
                <w:lang w:eastAsia="en-US"/>
              </w:rPr>
            </w:pPr>
            <w:r w:rsidRPr="002E2F4B">
              <w:rPr>
                <w:sz w:val="20"/>
                <w:szCs w:val="20"/>
                <w:lang w:eastAsia="en-US"/>
              </w:rPr>
              <w:t>Var. % 2022/2021</w:t>
            </w:r>
          </w:p>
        </w:tc>
      </w:tr>
      <w:tr w:rsidR="00315231" w:rsidRPr="002E2F4B" w14:paraId="1536CF64" w14:textId="77777777" w:rsidTr="00364B8A">
        <w:trPr>
          <w:trHeight w:val="510"/>
        </w:trPr>
        <w:tc>
          <w:tcPr>
            <w:tcW w:w="3901" w:type="pct"/>
            <w:tcBorders>
              <w:top w:val="single" w:sz="4" w:space="0" w:color="auto"/>
              <w:left w:val="nil"/>
              <w:bottom w:val="nil"/>
              <w:right w:val="nil"/>
            </w:tcBorders>
            <w:vAlign w:val="center"/>
            <w:hideMark/>
          </w:tcPr>
          <w:p w14:paraId="751DDF95" w14:textId="77777777" w:rsidR="00315231" w:rsidRPr="002E2F4B" w:rsidRDefault="00315231" w:rsidP="00364B8A">
            <w:pPr>
              <w:rPr>
                <w:sz w:val="20"/>
                <w:szCs w:val="20"/>
                <w:lang w:eastAsia="en-US"/>
              </w:rPr>
            </w:pPr>
            <w:r w:rsidRPr="002E2F4B">
              <w:rPr>
                <w:sz w:val="20"/>
                <w:szCs w:val="20"/>
                <w:lang w:eastAsia="en-US"/>
              </w:rPr>
              <w:t>Reddito lordo disponibile delle famiglie consumatrici a prezzi correnti</w:t>
            </w:r>
          </w:p>
        </w:tc>
        <w:tc>
          <w:tcPr>
            <w:tcW w:w="1099" w:type="pct"/>
            <w:tcBorders>
              <w:top w:val="single" w:sz="4" w:space="0" w:color="auto"/>
              <w:left w:val="nil"/>
              <w:bottom w:val="nil"/>
              <w:right w:val="nil"/>
            </w:tcBorders>
            <w:noWrap/>
            <w:vAlign w:val="center"/>
            <w:hideMark/>
          </w:tcPr>
          <w:p w14:paraId="16174174" w14:textId="77777777" w:rsidR="00315231" w:rsidRPr="002E2F4B" w:rsidRDefault="00315231" w:rsidP="00364B8A">
            <w:pPr>
              <w:jc w:val="center"/>
              <w:rPr>
                <w:sz w:val="20"/>
                <w:szCs w:val="20"/>
                <w:lang w:eastAsia="en-US"/>
              </w:rPr>
            </w:pPr>
            <w:r w:rsidRPr="002E2F4B">
              <w:rPr>
                <w:sz w:val="20"/>
                <w:szCs w:val="20"/>
                <w:lang w:eastAsia="en-US"/>
              </w:rPr>
              <w:t>+6,2</w:t>
            </w:r>
          </w:p>
        </w:tc>
      </w:tr>
      <w:tr w:rsidR="00315231" w:rsidRPr="003D2275" w14:paraId="0E7C76A0" w14:textId="77777777" w:rsidTr="00364B8A">
        <w:trPr>
          <w:trHeight w:val="510"/>
        </w:trPr>
        <w:tc>
          <w:tcPr>
            <w:tcW w:w="3901" w:type="pct"/>
            <w:tcBorders>
              <w:top w:val="nil"/>
              <w:left w:val="nil"/>
              <w:bottom w:val="nil"/>
              <w:right w:val="nil"/>
            </w:tcBorders>
            <w:vAlign w:val="center"/>
            <w:hideMark/>
          </w:tcPr>
          <w:p w14:paraId="72BEF768" w14:textId="77777777" w:rsidR="00315231" w:rsidRPr="003D2275" w:rsidRDefault="00315231" w:rsidP="00364B8A">
            <w:pPr>
              <w:rPr>
                <w:sz w:val="20"/>
                <w:szCs w:val="20"/>
                <w:lang w:eastAsia="en-US"/>
              </w:rPr>
            </w:pPr>
            <w:r w:rsidRPr="003D2275">
              <w:rPr>
                <w:sz w:val="20"/>
                <w:szCs w:val="20"/>
              </w:rPr>
              <w:t>Reddito lordo disponibile delle famiglie consumatrici in termini reali (potere d’acquisto)</w:t>
            </w:r>
          </w:p>
        </w:tc>
        <w:tc>
          <w:tcPr>
            <w:tcW w:w="1099" w:type="pct"/>
            <w:tcBorders>
              <w:top w:val="nil"/>
              <w:left w:val="nil"/>
              <w:bottom w:val="nil"/>
              <w:right w:val="nil"/>
            </w:tcBorders>
            <w:noWrap/>
            <w:vAlign w:val="center"/>
            <w:hideMark/>
          </w:tcPr>
          <w:p w14:paraId="232646F2" w14:textId="77777777" w:rsidR="00315231" w:rsidRPr="003D2275" w:rsidRDefault="00315231" w:rsidP="00364B8A">
            <w:pPr>
              <w:jc w:val="center"/>
              <w:rPr>
                <w:sz w:val="20"/>
                <w:szCs w:val="20"/>
                <w:lang w:eastAsia="en-US"/>
              </w:rPr>
            </w:pPr>
            <w:r w:rsidRPr="003D2275">
              <w:rPr>
                <w:sz w:val="20"/>
                <w:szCs w:val="20"/>
                <w:lang w:eastAsia="en-US"/>
              </w:rPr>
              <w:t>-1,2</w:t>
            </w:r>
          </w:p>
        </w:tc>
      </w:tr>
      <w:tr w:rsidR="00315231" w:rsidRPr="003D2275" w14:paraId="05CD6532" w14:textId="77777777" w:rsidTr="00364B8A">
        <w:trPr>
          <w:trHeight w:val="510"/>
        </w:trPr>
        <w:tc>
          <w:tcPr>
            <w:tcW w:w="3901" w:type="pct"/>
            <w:tcBorders>
              <w:top w:val="nil"/>
              <w:left w:val="nil"/>
              <w:bottom w:val="nil"/>
              <w:right w:val="nil"/>
            </w:tcBorders>
            <w:vAlign w:val="center"/>
            <w:hideMark/>
          </w:tcPr>
          <w:p w14:paraId="57DFA141" w14:textId="77777777" w:rsidR="00315231" w:rsidRPr="003D2275" w:rsidRDefault="00315231" w:rsidP="00364B8A">
            <w:pPr>
              <w:rPr>
                <w:sz w:val="20"/>
                <w:szCs w:val="20"/>
                <w:lang w:eastAsia="en-US"/>
              </w:rPr>
            </w:pPr>
            <w:r w:rsidRPr="003D2275">
              <w:rPr>
                <w:sz w:val="20"/>
                <w:szCs w:val="20"/>
                <w:lang w:eastAsia="en-US"/>
              </w:rPr>
              <w:t>Reddito lordo disponibile delle famiglie consumatrici in termini reali corretto per l’inflazione passata (*)</w:t>
            </w:r>
          </w:p>
        </w:tc>
        <w:tc>
          <w:tcPr>
            <w:tcW w:w="1099" w:type="pct"/>
            <w:tcBorders>
              <w:top w:val="nil"/>
              <w:left w:val="nil"/>
              <w:bottom w:val="nil"/>
              <w:right w:val="nil"/>
            </w:tcBorders>
            <w:noWrap/>
            <w:vAlign w:val="center"/>
            <w:hideMark/>
          </w:tcPr>
          <w:p w14:paraId="393A1F3E" w14:textId="77777777" w:rsidR="00315231" w:rsidRPr="003D2275" w:rsidRDefault="00315231" w:rsidP="00364B8A">
            <w:pPr>
              <w:jc w:val="center"/>
              <w:rPr>
                <w:sz w:val="20"/>
                <w:szCs w:val="20"/>
                <w:lang w:eastAsia="en-US"/>
              </w:rPr>
            </w:pPr>
            <w:r w:rsidRPr="003D2275">
              <w:rPr>
                <w:sz w:val="20"/>
                <w:szCs w:val="20"/>
                <w:lang w:eastAsia="en-US"/>
              </w:rPr>
              <w:t>-7,5</w:t>
            </w:r>
          </w:p>
        </w:tc>
      </w:tr>
      <w:tr w:rsidR="00315231" w:rsidRPr="003D2275" w14:paraId="19F2D28A" w14:textId="77777777" w:rsidTr="00364B8A">
        <w:trPr>
          <w:trHeight w:val="80"/>
        </w:trPr>
        <w:tc>
          <w:tcPr>
            <w:tcW w:w="3901" w:type="pct"/>
            <w:tcBorders>
              <w:top w:val="nil"/>
              <w:left w:val="nil"/>
              <w:bottom w:val="single" w:sz="4" w:space="0" w:color="auto"/>
              <w:right w:val="nil"/>
            </w:tcBorders>
            <w:vAlign w:val="center"/>
          </w:tcPr>
          <w:p w14:paraId="33AFD035" w14:textId="77777777" w:rsidR="00315231" w:rsidRPr="003D2275" w:rsidRDefault="00315231" w:rsidP="00364B8A">
            <w:pPr>
              <w:rPr>
                <w:sz w:val="20"/>
                <w:szCs w:val="20"/>
                <w:lang w:eastAsia="en-US"/>
              </w:rPr>
            </w:pPr>
          </w:p>
        </w:tc>
        <w:tc>
          <w:tcPr>
            <w:tcW w:w="1099" w:type="pct"/>
            <w:tcBorders>
              <w:top w:val="nil"/>
              <w:left w:val="nil"/>
              <w:bottom w:val="single" w:sz="4" w:space="0" w:color="auto"/>
              <w:right w:val="nil"/>
            </w:tcBorders>
            <w:noWrap/>
            <w:vAlign w:val="center"/>
          </w:tcPr>
          <w:p w14:paraId="7AD35F10" w14:textId="77777777" w:rsidR="00315231" w:rsidRPr="003D2275" w:rsidRDefault="00315231" w:rsidP="00364B8A">
            <w:pPr>
              <w:jc w:val="center"/>
              <w:rPr>
                <w:sz w:val="20"/>
                <w:szCs w:val="20"/>
                <w:lang w:eastAsia="en-US"/>
              </w:rPr>
            </w:pPr>
          </w:p>
        </w:tc>
      </w:tr>
      <w:tr w:rsidR="00315231" w:rsidRPr="003D2275" w14:paraId="6D1B55BD" w14:textId="77777777" w:rsidTr="00364B8A">
        <w:trPr>
          <w:trHeight w:val="510"/>
        </w:trPr>
        <w:tc>
          <w:tcPr>
            <w:tcW w:w="3901" w:type="pct"/>
            <w:tcBorders>
              <w:top w:val="single" w:sz="4" w:space="0" w:color="auto"/>
              <w:left w:val="nil"/>
              <w:bottom w:val="single" w:sz="4" w:space="0" w:color="auto"/>
              <w:right w:val="nil"/>
            </w:tcBorders>
            <w:vAlign w:val="center"/>
            <w:hideMark/>
          </w:tcPr>
          <w:p w14:paraId="1383B700" w14:textId="77777777" w:rsidR="00315231" w:rsidRPr="003D2275" w:rsidRDefault="00315231" w:rsidP="00364B8A">
            <w:pPr>
              <w:rPr>
                <w:i/>
                <w:iCs/>
                <w:sz w:val="20"/>
                <w:szCs w:val="20"/>
                <w:lang w:eastAsia="en-US"/>
              </w:rPr>
            </w:pPr>
            <w:r w:rsidRPr="003D2275">
              <w:rPr>
                <w:i/>
                <w:iCs/>
                <w:sz w:val="20"/>
                <w:szCs w:val="20"/>
                <w:lang w:eastAsia="en-US"/>
              </w:rPr>
              <w:t>Ricchezza finanziaria netta delle famiglie (in mld €) (**)</w:t>
            </w:r>
          </w:p>
        </w:tc>
        <w:tc>
          <w:tcPr>
            <w:tcW w:w="1099" w:type="pct"/>
            <w:tcBorders>
              <w:top w:val="single" w:sz="4" w:space="0" w:color="auto"/>
              <w:left w:val="nil"/>
              <w:bottom w:val="single" w:sz="4" w:space="0" w:color="auto"/>
              <w:right w:val="nil"/>
            </w:tcBorders>
            <w:noWrap/>
            <w:vAlign w:val="center"/>
            <w:hideMark/>
          </w:tcPr>
          <w:p w14:paraId="3F103DB0" w14:textId="77777777" w:rsidR="00315231" w:rsidRPr="003D2275" w:rsidRDefault="00315231" w:rsidP="00364B8A">
            <w:pPr>
              <w:jc w:val="center"/>
              <w:rPr>
                <w:i/>
                <w:iCs/>
                <w:sz w:val="20"/>
                <w:szCs w:val="20"/>
                <w:lang w:eastAsia="en-US"/>
              </w:rPr>
            </w:pPr>
            <w:r w:rsidRPr="003D2275">
              <w:rPr>
                <w:i/>
                <w:iCs/>
                <w:sz w:val="20"/>
                <w:szCs w:val="20"/>
                <w:lang w:eastAsia="en-US"/>
              </w:rPr>
              <w:t>-693</w:t>
            </w:r>
          </w:p>
        </w:tc>
      </w:tr>
    </w:tbl>
    <w:p w14:paraId="4CB51478" w14:textId="77777777" w:rsidR="00315231" w:rsidRPr="003D2275" w:rsidRDefault="00315231" w:rsidP="00315231">
      <w:pPr>
        <w:jc w:val="both"/>
        <w:rPr>
          <w:sz w:val="20"/>
          <w:szCs w:val="20"/>
        </w:rPr>
      </w:pPr>
      <w:r w:rsidRPr="003D2275">
        <w:rPr>
          <w:sz w:val="20"/>
          <w:szCs w:val="20"/>
        </w:rPr>
        <w:t>(*): al netto delle perdite da inflazione sulle attività finanziarie nette calcolate sulla base dell’inflazione realizzata.</w:t>
      </w:r>
    </w:p>
    <w:p w14:paraId="59DF0D25" w14:textId="77777777" w:rsidR="00315231" w:rsidRPr="003D2275" w:rsidRDefault="00315231" w:rsidP="00315231">
      <w:pPr>
        <w:jc w:val="both"/>
        <w:rPr>
          <w:sz w:val="20"/>
          <w:szCs w:val="20"/>
        </w:rPr>
      </w:pPr>
      <w:r w:rsidRPr="003D2275">
        <w:rPr>
          <w:sz w:val="20"/>
          <w:szCs w:val="20"/>
        </w:rPr>
        <w:t xml:space="preserve">(**): saldo tra le consistenze di attività finanziarie attive e quelle passive delle famiglie consumatrici, produttrici e delle istituzioni senza scopo di lucro al servizio delle famiglie. </w:t>
      </w:r>
      <w:r w:rsidRPr="003D2275">
        <w:rPr>
          <w:b/>
          <w:bCs/>
          <w:sz w:val="20"/>
          <w:szCs w:val="20"/>
        </w:rPr>
        <w:t>(Fonte: elaborazione Censis su dati Istat, Banca d’Italia)</w:t>
      </w:r>
    </w:p>
    <w:p w14:paraId="5D081E34" w14:textId="77777777" w:rsidR="00315231" w:rsidRPr="003D2275" w:rsidRDefault="00315231" w:rsidP="00315231">
      <w:pPr>
        <w:spacing w:before="120" w:after="120"/>
        <w:jc w:val="both"/>
        <w:rPr>
          <w:color w:val="0D0D0D" w:themeColor="text1" w:themeTint="F2"/>
        </w:rPr>
      </w:pPr>
      <w:r w:rsidRPr="003D2275">
        <w:rPr>
          <w:color w:val="0D0D0D" w:themeColor="text1" w:themeTint="F2"/>
        </w:rPr>
        <w:t>L’esito combinato di inflazione e tassi di interesse si aggiunge alla riduzione in termini reali della ricchezza netta delle famiglie che registrano un saldo tra le consistenze attive e quelle passive inferiore di quasi 700 miliardi di euro nel 2022 rispetto all’anno precedente (-14,4%).</w:t>
      </w:r>
    </w:p>
    <w:p w14:paraId="1B7BA1F6" w14:textId="77777777" w:rsidR="00315231" w:rsidRPr="003D2275" w:rsidRDefault="00315231" w:rsidP="00315231">
      <w:pPr>
        <w:spacing w:before="120" w:after="120"/>
        <w:jc w:val="both"/>
      </w:pPr>
      <w:r w:rsidRPr="003D2275">
        <w:t xml:space="preserve">Bolletta salata sugli interessi da corrispondere sul debito balzato a 2.817 miliardi di euro (dato a maggio 2023). L’ultimo documento di Economia e Finanza (DEF 2023), prefigura nel quadro tendenziale, per il 2026, una quota di interessi passivi pari al 4,5% del Pil. Ne discende che la spesa per interessi potrebbe collocarsi intorno ai 100 miliardi di euro (40 miliardi in più rispetto al </w:t>
      </w:r>
      <w:proofErr w:type="gramStart"/>
      <w:r w:rsidRPr="003D2275">
        <w:t>2020)-</w:t>
      </w:r>
      <w:proofErr w:type="gramEnd"/>
    </w:p>
    <w:p w14:paraId="71011183" w14:textId="77777777" w:rsidR="00315231" w:rsidRPr="003D2275" w:rsidRDefault="00315231" w:rsidP="00315231">
      <w:pPr>
        <w:spacing w:before="120" w:after="120"/>
        <w:jc w:val="both"/>
      </w:pPr>
      <w:r w:rsidRPr="003D2275">
        <w:lastRenderedPageBreak/>
        <w:t xml:space="preserve">«Premesse queste – dice </w:t>
      </w:r>
      <w:r w:rsidRPr="003D2275">
        <w:rPr>
          <w:b/>
          <w:bCs/>
        </w:rPr>
        <w:t>Maurizio Gardini presidente di Confcooperative</w:t>
      </w:r>
      <w:r w:rsidRPr="003D2275">
        <w:t xml:space="preserve"> – che rappresentano un fardello pesante per le prospettive di crescita dei prossimi anni con una bolletta che salirebbe fino 100 miliardi di interessi da corrispondere sul debito entro il 2026».</w:t>
      </w:r>
    </w:p>
    <w:p w14:paraId="5109C2CE" w14:textId="77777777" w:rsidR="00315231" w:rsidRPr="003D2275" w:rsidRDefault="00315231" w:rsidP="00315231">
      <w:pPr>
        <w:spacing w:before="120" w:after="120"/>
        <w:jc w:val="both"/>
      </w:pPr>
      <w:r w:rsidRPr="003D2275">
        <w:rPr>
          <w:b/>
          <w:bCs/>
        </w:rPr>
        <w:t>EFFETTI SULL’ACCESSO AL CREDITO DELLE FAMIGLIE</w:t>
      </w:r>
      <w:r w:rsidRPr="003D2275">
        <w:t>: Sono notevoli i cambiamenti nei comportamenti di spesa delle famiglie alla luce dell’aumento dei tassi d’interesse. Questi ultimi hanno avuto un incremento superiore ai 200 punti base nel caso delle nuove operazioni per acquisto di abitazioni e di oltre 300 punti nel caso di nuove operazioni di finanziamento delle imprese (</w:t>
      </w:r>
      <w:r w:rsidRPr="003D2275">
        <w:rPr>
          <w:b/>
          <w:bCs/>
          <w:sz w:val="20"/>
          <w:szCs w:val="20"/>
        </w:rPr>
        <w:t>Tab. 2</w:t>
      </w:r>
      <w:r w:rsidRPr="003D2275">
        <w:t>). In sostanza, il tasso medio sul totale dei prestiti è passato dal 2,21% di giugno 2022 al 4,25% di giugno di quest’anno, sempre a seguito dei continui rialzi dei tassi di interesse decisi dalla Bce negli ultimi 12 mesi.</w:t>
      </w:r>
    </w:p>
    <w:p w14:paraId="7E83282E" w14:textId="77777777" w:rsidR="00315231" w:rsidRPr="003D2275" w:rsidRDefault="00315231" w:rsidP="00315231">
      <w:pPr>
        <w:spacing w:before="240" w:after="120"/>
        <w:jc w:val="both"/>
        <w:rPr>
          <w:b/>
          <w:bCs/>
          <w:i/>
          <w:iCs/>
          <w:sz w:val="20"/>
          <w:szCs w:val="20"/>
        </w:rPr>
      </w:pPr>
      <w:r w:rsidRPr="003D2275">
        <w:rPr>
          <w:b/>
          <w:bCs/>
          <w:sz w:val="20"/>
          <w:szCs w:val="20"/>
        </w:rPr>
        <w:t xml:space="preserve">Tab. 2 – La stretta monetaria e gli effetti su famiglie e imprese: l’aumento dei tassi di interesse nell’ultimo anno. Giugno 2022 - giugno 2023 </w:t>
      </w:r>
      <w:r w:rsidRPr="003D2275">
        <w:rPr>
          <w:i/>
          <w:iCs/>
          <w:sz w:val="20"/>
          <w:szCs w:val="20"/>
        </w:rPr>
        <w:t>(val. % e v.a.)</w:t>
      </w:r>
    </w:p>
    <w:tbl>
      <w:tblPr>
        <w:tblStyle w:val="Grigliatabel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gridCol w:w="1155"/>
        <w:gridCol w:w="1155"/>
        <w:gridCol w:w="1341"/>
      </w:tblGrid>
      <w:tr w:rsidR="00315231" w:rsidRPr="003D2275" w14:paraId="234AF4AC" w14:textId="77777777" w:rsidTr="00364B8A">
        <w:trPr>
          <w:trHeight w:val="567"/>
        </w:trPr>
        <w:tc>
          <w:tcPr>
            <w:tcW w:w="3056" w:type="pct"/>
            <w:tcBorders>
              <w:top w:val="single" w:sz="4" w:space="0" w:color="auto"/>
              <w:left w:val="nil"/>
              <w:bottom w:val="single" w:sz="4" w:space="0" w:color="auto"/>
              <w:right w:val="nil"/>
            </w:tcBorders>
            <w:noWrap/>
            <w:vAlign w:val="center"/>
            <w:hideMark/>
          </w:tcPr>
          <w:p w14:paraId="08A97AA1" w14:textId="77777777" w:rsidR="00315231" w:rsidRPr="003D2275" w:rsidRDefault="00315231" w:rsidP="00364B8A">
            <w:pPr>
              <w:rPr>
                <w:sz w:val="20"/>
                <w:szCs w:val="20"/>
                <w:lang w:eastAsia="en-US"/>
              </w:rPr>
            </w:pPr>
            <w:r w:rsidRPr="003D2275">
              <w:rPr>
                <w:sz w:val="20"/>
                <w:szCs w:val="20"/>
                <w:lang w:eastAsia="en-US"/>
              </w:rPr>
              <w:t>Tassi d’interesse bancari</w:t>
            </w:r>
          </w:p>
        </w:tc>
        <w:tc>
          <w:tcPr>
            <w:tcW w:w="648" w:type="pct"/>
            <w:tcBorders>
              <w:top w:val="single" w:sz="4" w:space="0" w:color="auto"/>
              <w:left w:val="nil"/>
              <w:bottom w:val="single" w:sz="4" w:space="0" w:color="auto"/>
              <w:right w:val="nil"/>
            </w:tcBorders>
            <w:noWrap/>
            <w:vAlign w:val="center"/>
            <w:hideMark/>
          </w:tcPr>
          <w:p w14:paraId="68D22729" w14:textId="77777777" w:rsidR="00315231" w:rsidRPr="003D2275" w:rsidRDefault="00315231" w:rsidP="00364B8A">
            <w:pPr>
              <w:jc w:val="center"/>
              <w:rPr>
                <w:sz w:val="20"/>
                <w:szCs w:val="20"/>
                <w:lang w:eastAsia="en-US"/>
              </w:rPr>
            </w:pPr>
            <w:r w:rsidRPr="003D2275">
              <w:rPr>
                <w:sz w:val="20"/>
                <w:szCs w:val="20"/>
                <w:lang w:eastAsia="en-US"/>
              </w:rPr>
              <w:t>giugno 2022</w:t>
            </w:r>
          </w:p>
        </w:tc>
        <w:tc>
          <w:tcPr>
            <w:tcW w:w="648" w:type="pct"/>
            <w:tcBorders>
              <w:top w:val="single" w:sz="4" w:space="0" w:color="auto"/>
              <w:left w:val="nil"/>
              <w:bottom w:val="single" w:sz="4" w:space="0" w:color="auto"/>
              <w:right w:val="nil"/>
            </w:tcBorders>
            <w:noWrap/>
            <w:vAlign w:val="center"/>
            <w:hideMark/>
          </w:tcPr>
          <w:p w14:paraId="61354455" w14:textId="77777777" w:rsidR="00315231" w:rsidRPr="003D2275" w:rsidRDefault="00315231" w:rsidP="00364B8A">
            <w:pPr>
              <w:jc w:val="center"/>
              <w:rPr>
                <w:sz w:val="20"/>
                <w:szCs w:val="20"/>
                <w:lang w:eastAsia="en-US"/>
              </w:rPr>
            </w:pPr>
            <w:r w:rsidRPr="003D2275">
              <w:rPr>
                <w:sz w:val="20"/>
                <w:szCs w:val="20"/>
                <w:lang w:eastAsia="en-US"/>
              </w:rPr>
              <w:t>giugno 2023</w:t>
            </w:r>
          </w:p>
        </w:tc>
        <w:tc>
          <w:tcPr>
            <w:tcW w:w="648" w:type="pct"/>
            <w:tcBorders>
              <w:top w:val="single" w:sz="4" w:space="0" w:color="auto"/>
              <w:left w:val="nil"/>
              <w:bottom w:val="single" w:sz="4" w:space="0" w:color="auto"/>
              <w:right w:val="nil"/>
            </w:tcBorders>
            <w:noWrap/>
            <w:vAlign w:val="center"/>
            <w:hideMark/>
          </w:tcPr>
          <w:p w14:paraId="538B550F" w14:textId="77777777" w:rsidR="00315231" w:rsidRPr="003D2275" w:rsidRDefault="00315231" w:rsidP="00364B8A">
            <w:pPr>
              <w:jc w:val="center"/>
              <w:rPr>
                <w:sz w:val="20"/>
                <w:szCs w:val="20"/>
                <w:lang w:eastAsia="en-US"/>
              </w:rPr>
            </w:pPr>
            <w:r w:rsidRPr="003D2275">
              <w:rPr>
                <w:sz w:val="20"/>
                <w:szCs w:val="20"/>
                <w:lang w:eastAsia="en-US"/>
              </w:rPr>
              <w:t>diff. punti base</w:t>
            </w:r>
          </w:p>
        </w:tc>
      </w:tr>
      <w:tr w:rsidR="00315231" w:rsidRPr="003D2275" w14:paraId="4BEA6987" w14:textId="77777777" w:rsidTr="00364B8A">
        <w:trPr>
          <w:trHeight w:val="567"/>
        </w:trPr>
        <w:tc>
          <w:tcPr>
            <w:tcW w:w="3056" w:type="pct"/>
            <w:tcBorders>
              <w:top w:val="single" w:sz="4" w:space="0" w:color="auto"/>
              <w:left w:val="nil"/>
              <w:bottom w:val="nil"/>
              <w:right w:val="nil"/>
            </w:tcBorders>
            <w:noWrap/>
            <w:vAlign w:val="center"/>
            <w:hideMark/>
          </w:tcPr>
          <w:p w14:paraId="0D992442" w14:textId="77777777" w:rsidR="00315231" w:rsidRPr="003D2275" w:rsidRDefault="00315231" w:rsidP="00364B8A">
            <w:pPr>
              <w:rPr>
                <w:sz w:val="20"/>
                <w:szCs w:val="20"/>
                <w:lang w:eastAsia="en-US"/>
              </w:rPr>
            </w:pPr>
            <w:r w:rsidRPr="003D2275">
              <w:rPr>
                <w:sz w:val="20"/>
                <w:szCs w:val="20"/>
                <w:lang w:eastAsia="en-US"/>
              </w:rPr>
              <w:t>Tasso d'interesse medio sulle nuove operazioni per acquisto di abitazioni</w:t>
            </w:r>
          </w:p>
        </w:tc>
        <w:tc>
          <w:tcPr>
            <w:tcW w:w="648" w:type="pct"/>
            <w:tcBorders>
              <w:top w:val="single" w:sz="4" w:space="0" w:color="auto"/>
              <w:left w:val="nil"/>
              <w:bottom w:val="nil"/>
              <w:right w:val="nil"/>
            </w:tcBorders>
            <w:noWrap/>
            <w:vAlign w:val="center"/>
            <w:hideMark/>
          </w:tcPr>
          <w:p w14:paraId="4710AD2D" w14:textId="77777777" w:rsidR="00315231" w:rsidRPr="003D2275" w:rsidRDefault="00315231" w:rsidP="00364B8A">
            <w:pPr>
              <w:jc w:val="center"/>
              <w:rPr>
                <w:sz w:val="20"/>
                <w:szCs w:val="20"/>
                <w:lang w:eastAsia="en-US"/>
              </w:rPr>
            </w:pPr>
            <w:r w:rsidRPr="003D2275">
              <w:rPr>
                <w:sz w:val="20"/>
                <w:szCs w:val="20"/>
                <w:lang w:eastAsia="en-US"/>
              </w:rPr>
              <w:t>2,05</w:t>
            </w:r>
          </w:p>
        </w:tc>
        <w:tc>
          <w:tcPr>
            <w:tcW w:w="648" w:type="pct"/>
            <w:tcBorders>
              <w:top w:val="single" w:sz="4" w:space="0" w:color="auto"/>
              <w:left w:val="nil"/>
              <w:bottom w:val="nil"/>
              <w:right w:val="nil"/>
            </w:tcBorders>
            <w:noWrap/>
            <w:vAlign w:val="center"/>
            <w:hideMark/>
          </w:tcPr>
          <w:p w14:paraId="65D06FD6" w14:textId="77777777" w:rsidR="00315231" w:rsidRPr="003D2275" w:rsidRDefault="00315231" w:rsidP="00364B8A">
            <w:pPr>
              <w:jc w:val="center"/>
              <w:rPr>
                <w:sz w:val="20"/>
                <w:szCs w:val="20"/>
                <w:lang w:eastAsia="en-US"/>
              </w:rPr>
            </w:pPr>
            <w:r w:rsidRPr="003D2275">
              <w:rPr>
                <w:sz w:val="20"/>
                <w:szCs w:val="20"/>
                <w:lang w:eastAsia="en-US"/>
              </w:rPr>
              <w:t>4,27</w:t>
            </w:r>
          </w:p>
        </w:tc>
        <w:tc>
          <w:tcPr>
            <w:tcW w:w="648" w:type="pct"/>
            <w:tcBorders>
              <w:top w:val="single" w:sz="4" w:space="0" w:color="auto"/>
              <w:left w:val="nil"/>
              <w:bottom w:val="nil"/>
              <w:right w:val="nil"/>
            </w:tcBorders>
            <w:noWrap/>
            <w:vAlign w:val="center"/>
            <w:hideMark/>
          </w:tcPr>
          <w:p w14:paraId="085F5271" w14:textId="77777777" w:rsidR="00315231" w:rsidRPr="003D2275" w:rsidRDefault="00315231" w:rsidP="00364B8A">
            <w:pPr>
              <w:jc w:val="center"/>
              <w:rPr>
                <w:sz w:val="20"/>
                <w:szCs w:val="20"/>
                <w:lang w:eastAsia="en-US"/>
              </w:rPr>
            </w:pPr>
            <w:r w:rsidRPr="003D2275">
              <w:rPr>
                <w:sz w:val="20"/>
                <w:szCs w:val="20"/>
                <w:lang w:eastAsia="en-US"/>
              </w:rPr>
              <w:t>222</w:t>
            </w:r>
          </w:p>
        </w:tc>
      </w:tr>
      <w:tr w:rsidR="00315231" w:rsidRPr="003D2275" w14:paraId="7623879D" w14:textId="77777777" w:rsidTr="00364B8A">
        <w:trPr>
          <w:trHeight w:val="567"/>
        </w:trPr>
        <w:tc>
          <w:tcPr>
            <w:tcW w:w="3056" w:type="pct"/>
            <w:noWrap/>
            <w:vAlign w:val="center"/>
            <w:hideMark/>
          </w:tcPr>
          <w:p w14:paraId="7ADF4DE2" w14:textId="77777777" w:rsidR="00315231" w:rsidRPr="003D2275" w:rsidRDefault="00315231" w:rsidP="00364B8A">
            <w:pPr>
              <w:rPr>
                <w:sz w:val="20"/>
                <w:szCs w:val="20"/>
                <w:lang w:eastAsia="en-US"/>
              </w:rPr>
            </w:pPr>
            <w:r w:rsidRPr="003D2275">
              <w:rPr>
                <w:sz w:val="20"/>
                <w:szCs w:val="20"/>
                <w:lang w:eastAsia="en-US"/>
              </w:rPr>
              <w:t>Tasso d'interesse medio sulle nuove operazioni di finanziamento alle imprese</w:t>
            </w:r>
          </w:p>
        </w:tc>
        <w:tc>
          <w:tcPr>
            <w:tcW w:w="648" w:type="pct"/>
            <w:noWrap/>
            <w:vAlign w:val="center"/>
            <w:hideMark/>
          </w:tcPr>
          <w:p w14:paraId="63BBE23E" w14:textId="77777777" w:rsidR="00315231" w:rsidRPr="003D2275" w:rsidRDefault="00315231" w:rsidP="00364B8A">
            <w:pPr>
              <w:jc w:val="center"/>
              <w:rPr>
                <w:sz w:val="20"/>
                <w:szCs w:val="20"/>
                <w:lang w:eastAsia="en-US"/>
              </w:rPr>
            </w:pPr>
            <w:r w:rsidRPr="003D2275">
              <w:rPr>
                <w:sz w:val="20"/>
                <w:szCs w:val="20"/>
                <w:lang w:eastAsia="en-US"/>
              </w:rPr>
              <w:t>1,44</w:t>
            </w:r>
          </w:p>
        </w:tc>
        <w:tc>
          <w:tcPr>
            <w:tcW w:w="648" w:type="pct"/>
            <w:noWrap/>
            <w:vAlign w:val="center"/>
            <w:hideMark/>
          </w:tcPr>
          <w:p w14:paraId="39E34A34" w14:textId="77777777" w:rsidR="00315231" w:rsidRPr="003D2275" w:rsidRDefault="00315231" w:rsidP="00364B8A">
            <w:pPr>
              <w:jc w:val="center"/>
              <w:rPr>
                <w:sz w:val="20"/>
                <w:szCs w:val="20"/>
                <w:lang w:eastAsia="en-US"/>
              </w:rPr>
            </w:pPr>
            <w:r w:rsidRPr="003D2275">
              <w:rPr>
                <w:sz w:val="20"/>
                <w:szCs w:val="20"/>
                <w:lang w:eastAsia="en-US"/>
              </w:rPr>
              <w:t>4,86</w:t>
            </w:r>
          </w:p>
        </w:tc>
        <w:tc>
          <w:tcPr>
            <w:tcW w:w="648" w:type="pct"/>
            <w:noWrap/>
            <w:vAlign w:val="center"/>
            <w:hideMark/>
          </w:tcPr>
          <w:p w14:paraId="5FA27306" w14:textId="77777777" w:rsidR="00315231" w:rsidRPr="003D2275" w:rsidRDefault="00315231" w:rsidP="00364B8A">
            <w:pPr>
              <w:jc w:val="center"/>
              <w:rPr>
                <w:sz w:val="20"/>
                <w:szCs w:val="20"/>
                <w:lang w:eastAsia="en-US"/>
              </w:rPr>
            </w:pPr>
            <w:r w:rsidRPr="003D2275">
              <w:rPr>
                <w:sz w:val="20"/>
                <w:szCs w:val="20"/>
                <w:lang w:eastAsia="en-US"/>
              </w:rPr>
              <w:t>342</w:t>
            </w:r>
          </w:p>
        </w:tc>
      </w:tr>
      <w:tr w:rsidR="00315231" w:rsidRPr="003D2275" w14:paraId="2798584B" w14:textId="77777777" w:rsidTr="00364B8A">
        <w:trPr>
          <w:trHeight w:val="567"/>
        </w:trPr>
        <w:tc>
          <w:tcPr>
            <w:tcW w:w="3056" w:type="pct"/>
            <w:noWrap/>
            <w:vAlign w:val="center"/>
            <w:hideMark/>
          </w:tcPr>
          <w:p w14:paraId="4C169B74" w14:textId="77777777" w:rsidR="00315231" w:rsidRPr="003D2275" w:rsidRDefault="00315231" w:rsidP="00364B8A">
            <w:pPr>
              <w:rPr>
                <w:sz w:val="20"/>
                <w:szCs w:val="20"/>
                <w:lang w:eastAsia="en-US"/>
              </w:rPr>
            </w:pPr>
            <w:r w:rsidRPr="003D2275">
              <w:rPr>
                <w:sz w:val="20"/>
                <w:szCs w:val="20"/>
                <w:lang w:eastAsia="en-US"/>
              </w:rPr>
              <w:t>Tasso d'interesse medio sul totale dei prestiti</w:t>
            </w:r>
          </w:p>
        </w:tc>
        <w:tc>
          <w:tcPr>
            <w:tcW w:w="648" w:type="pct"/>
            <w:noWrap/>
            <w:vAlign w:val="center"/>
            <w:hideMark/>
          </w:tcPr>
          <w:p w14:paraId="1A569014" w14:textId="77777777" w:rsidR="00315231" w:rsidRPr="003D2275" w:rsidRDefault="00315231" w:rsidP="00364B8A">
            <w:pPr>
              <w:jc w:val="center"/>
              <w:rPr>
                <w:sz w:val="20"/>
                <w:szCs w:val="20"/>
                <w:lang w:eastAsia="en-US"/>
              </w:rPr>
            </w:pPr>
            <w:r w:rsidRPr="003D2275">
              <w:rPr>
                <w:sz w:val="20"/>
                <w:szCs w:val="20"/>
                <w:lang w:eastAsia="en-US"/>
              </w:rPr>
              <w:t>2,21</w:t>
            </w:r>
          </w:p>
        </w:tc>
        <w:tc>
          <w:tcPr>
            <w:tcW w:w="648" w:type="pct"/>
            <w:noWrap/>
            <w:vAlign w:val="center"/>
            <w:hideMark/>
          </w:tcPr>
          <w:p w14:paraId="05E20811" w14:textId="77777777" w:rsidR="00315231" w:rsidRPr="003D2275" w:rsidRDefault="00315231" w:rsidP="00364B8A">
            <w:pPr>
              <w:jc w:val="center"/>
              <w:rPr>
                <w:sz w:val="20"/>
                <w:szCs w:val="20"/>
                <w:lang w:eastAsia="en-US"/>
              </w:rPr>
            </w:pPr>
            <w:r w:rsidRPr="003D2275">
              <w:rPr>
                <w:sz w:val="20"/>
                <w:szCs w:val="20"/>
                <w:lang w:eastAsia="en-US"/>
              </w:rPr>
              <w:t>4,25</w:t>
            </w:r>
          </w:p>
        </w:tc>
        <w:tc>
          <w:tcPr>
            <w:tcW w:w="648" w:type="pct"/>
            <w:noWrap/>
            <w:vAlign w:val="center"/>
            <w:hideMark/>
          </w:tcPr>
          <w:p w14:paraId="4B5C1B83" w14:textId="77777777" w:rsidR="00315231" w:rsidRPr="003D2275" w:rsidRDefault="00315231" w:rsidP="00364B8A">
            <w:pPr>
              <w:jc w:val="center"/>
              <w:rPr>
                <w:sz w:val="20"/>
                <w:szCs w:val="20"/>
                <w:lang w:eastAsia="en-US"/>
              </w:rPr>
            </w:pPr>
            <w:r w:rsidRPr="003D2275">
              <w:rPr>
                <w:sz w:val="20"/>
                <w:szCs w:val="20"/>
                <w:lang w:eastAsia="en-US"/>
              </w:rPr>
              <w:t>204</w:t>
            </w:r>
          </w:p>
        </w:tc>
      </w:tr>
      <w:tr w:rsidR="00315231" w:rsidRPr="003D2275" w14:paraId="32ABFE89" w14:textId="77777777" w:rsidTr="00364B8A">
        <w:trPr>
          <w:trHeight w:val="567"/>
        </w:trPr>
        <w:tc>
          <w:tcPr>
            <w:tcW w:w="3056" w:type="pct"/>
            <w:tcBorders>
              <w:top w:val="nil"/>
              <w:left w:val="nil"/>
              <w:bottom w:val="single" w:sz="4" w:space="0" w:color="auto"/>
              <w:right w:val="nil"/>
            </w:tcBorders>
            <w:noWrap/>
            <w:vAlign w:val="center"/>
            <w:hideMark/>
          </w:tcPr>
          <w:p w14:paraId="1A7FF7B6" w14:textId="77777777" w:rsidR="00315231" w:rsidRPr="003D2275" w:rsidRDefault="00315231" w:rsidP="00364B8A">
            <w:pPr>
              <w:rPr>
                <w:sz w:val="20"/>
                <w:szCs w:val="20"/>
                <w:lang w:eastAsia="en-US"/>
              </w:rPr>
            </w:pPr>
            <w:r w:rsidRPr="003D2275">
              <w:rPr>
                <w:sz w:val="20"/>
                <w:szCs w:val="20"/>
                <w:lang w:eastAsia="en-US"/>
              </w:rPr>
              <w:t>Tasso di riferimento BCE</w:t>
            </w:r>
          </w:p>
        </w:tc>
        <w:tc>
          <w:tcPr>
            <w:tcW w:w="648" w:type="pct"/>
            <w:tcBorders>
              <w:top w:val="nil"/>
              <w:left w:val="nil"/>
              <w:bottom w:val="single" w:sz="4" w:space="0" w:color="auto"/>
              <w:right w:val="nil"/>
            </w:tcBorders>
            <w:noWrap/>
            <w:vAlign w:val="center"/>
            <w:hideMark/>
          </w:tcPr>
          <w:p w14:paraId="3A4EB904" w14:textId="77777777" w:rsidR="00315231" w:rsidRPr="003D2275" w:rsidRDefault="00315231" w:rsidP="00364B8A">
            <w:pPr>
              <w:jc w:val="center"/>
              <w:rPr>
                <w:sz w:val="20"/>
                <w:szCs w:val="20"/>
                <w:lang w:eastAsia="en-US"/>
              </w:rPr>
            </w:pPr>
            <w:r w:rsidRPr="003D2275">
              <w:rPr>
                <w:sz w:val="20"/>
                <w:szCs w:val="20"/>
                <w:lang w:eastAsia="en-US"/>
              </w:rPr>
              <w:t>0,00</w:t>
            </w:r>
          </w:p>
        </w:tc>
        <w:tc>
          <w:tcPr>
            <w:tcW w:w="648" w:type="pct"/>
            <w:tcBorders>
              <w:top w:val="nil"/>
              <w:left w:val="nil"/>
              <w:bottom w:val="single" w:sz="4" w:space="0" w:color="auto"/>
              <w:right w:val="nil"/>
            </w:tcBorders>
            <w:noWrap/>
            <w:vAlign w:val="center"/>
            <w:hideMark/>
          </w:tcPr>
          <w:p w14:paraId="791C9542" w14:textId="77777777" w:rsidR="00315231" w:rsidRPr="003D2275" w:rsidRDefault="00315231" w:rsidP="00364B8A">
            <w:pPr>
              <w:jc w:val="center"/>
              <w:rPr>
                <w:sz w:val="20"/>
                <w:szCs w:val="20"/>
                <w:lang w:eastAsia="en-US"/>
              </w:rPr>
            </w:pPr>
            <w:r w:rsidRPr="003D2275">
              <w:rPr>
                <w:sz w:val="20"/>
                <w:szCs w:val="20"/>
                <w:lang w:eastAsia="en-US"/>
              </w:rPr>
              <w:t>4,00</w:t>
            </w:r>
          </w:p>
        </w:tc>
        <w:tc>
          <w:tcPr>
            <w:tcW w:w="648" w:type="pct"/>
            <w:tcBorders>
              <w:top w:val="nil"/>
              <w:left w:val="nil"/>
              <w:bottom w:val="single" w:sz="4" w:space="0" w:color="auto"/>
              <w:right w:val="nil"/>
            </w:tcBorders>
            <w:noWrap/>
            <w:vAlign w:val="center"/>
            <w:hideMark/>
          </w:tcPr>
          <w:p w14:paraId="5896F7C4" w14:textId="77777777" w:rsidR="00315231" w:rsidRPr="003D2275" w:rsidRDefault="00315231" w:rsidP="00364B8A">
            <w:pPr>
              <w:jc w:val="center"/>
              <w:rPr>
                <w:sz w:val="20"/>
                <w:szCs w:val="20"/>
                <w:lang w:eastAsia="en-US"/>
              </w:rPr>
            </w:pPr>
            <w:r w:rsidRPr="003D2275">
              <w:rPr>
                <w:sz w:val="20"/>
                <w:szCs w:val="20"/>
                <w:lang w:eastAsia="en-US"/>
              </w:rPr>
              <w:t>400</w:t>
            </w:r>
          </w:p>
        </w:tc>
      </w:tr>
    </w:tbl>
    <w:p w14:paraId="0B508991" w14:textId="77777777" w:rsidR="00315231" w:rsidRPr="003D2275" w:rsidRDefault="00315231" w:rsidP="00315231">
      <w:pPr>
        <w:spacing w:before="120"/>
        <w:jc w:val="both"/>
        <w:rPr>
          <w:b/>
          <w:bCs/>
          <w:sz w:val="20"/>
          <w:szCs w:val="20"/>
        </w:rPr>
      </w:pPr>
      <w:bookmarkStart w:id="0" w:name="_Hlk139361540"/>
      <w:r w:rsidRPr="003D2275">
        <w:rPr>
          <w:b/>
          <w:bCs/>
          <w:sz w:val="20"/>
          <w:szCs w:val="20"/>
        </w:rPr>
        <w:t xml:space="preserve">Fonte: elaborazione Censis su dati </w:t>
      </w:r>
      <w:proofErr w:type="spellStart"/>
      <w:r w:rsidRPr="003D2275">
        <w:rPr>
          <w:b/>
          <w:bCs/>
          <w:sz w:val="20"/>
          <w:szCs w:val="20"/>
        </w:rPr>
        <w:t>Abi</w:t>
      </w:r>
      <w:proofErr w:type="spellEnd"/>
    </w:p>
    <w:bookmarkEnd w:id="0"/>
    <w:p w14:paraId="2BBA3134" w14:textId="77777777" w:rsidR="00315231" w:rsidRPr="003D2275" w:rsidRDefault="00315231" w:rsidP="00315231">
      <w:pPr>
        <w:spacing w:before="120" w:after="120"/>
        <w:jc w:val="both"/>
      </w:pPr>
      <w:r w:rsidRPr="003D2275">
        <w:t>L’inflazione, dopo la pandemia, le strozzature sul lato dell’offerta di beni, la tempesta dei prezzi sulle fonti di approvvigionamento per molti paesi, hanno rappresentato il principale fattore di incertezza in questi mesi. Al temporaneo superamento dell’emergenza “bollette” si è affiancato il preoccupante rincaro di tutto ciò che si presenta come spesa difficilmente sostituibile come la spesa alimentare</w:t>
      </w:r>
      <w:r w:rsidRPr="003D2275">
        <w:rPr>
          <w:b/>
          <w:bCs/>
        </w:rPr>
        <w:t>. In termini reali fra il 2021 e il 2022 la diminuzione del potere d’acquisto, corretta con l’inflazione passata, è superiore ai sette punti percentuali. In termini assoluti, il reddito lordo disponibile delle famiglie si riduce di ben 100 miliardi di euro, in media almeno 3.800 euro a famiglia.</w:t>
      </w:r>
    </w:p>
    <w:p w14:paraId="20FE7434" w14:textId="77777777" w:rsidR="00315231" w:rsidRPr="003D2275" w:rsidRDefault="00315231" w:rsidP="00315231">
      <w:pPr>
        <w:spacing w:before="120" w:after="120"/>
        <w:jc w:val="both"/>
      </w:pPr>
      <w:bookmarkStart w:id="1" w:name="_Toc140682822"/>
      <w:r w:rsidRPr="003D2275">
        <w:rPr>
          <w:b/>
          <w:bCs/>
        </w:rPr>
        <w:t>GLI EFFETTI SUL MERCATO IMMOBILIARE:</w:t>
      </w:r>
      <w:r w:rsidRPr="003D2275">
        <w:t xml:space="preserve"> Il clima avverso rispetto alle decisioni di acquisto e di investimento da parte delle famiglie è confermato dall’andamento del mercato immobiliare in Italia. Secondo i dati diffusi dal Consiglio Nazionale del Notariato, rispetto allo scorso anno si registrerà una riduzione del 17,1% delle compravendite di case fra privati e del 2,5% delle compravendite delle seconde case fra privati (</w:t>
      </w:r>
      <w:r w:rsidRPr="003D2275">
        <w:rPr>
          <w:b/>
          <w:bCs/>
          <w:sz w:val="20"/>
          <w:szCs w:val="20"/>
        </w:rPr>
        <w:t>Tab. 3</w:t>
      </w:r>
      <w:r w:rsidRPr="003D2275">
        <w:t>). In generale, per quanto riguarda i fabbricati abitativi il ridimensionamento delle decisioni di acquisto si attesta intorno all’11%. Tutto ciò comporterebbe un crollo del 10,1% delle richieste di mutui per l’acquisto di abitazioni e del 9,6% nel caso in cui i mutui richiesti siano compresi fra i 50.000 e i 150.000 euro.</w:t>
      </w:r>
    </w:p>
    <w:p w14:paraId="5CBCC056" w14:textId="77777777" w:rsidR="00315231" w:rsidRPr="004B3CAA" w:rsidRDefault="00315231" w:rsidP="00315231">
      <w:pPr>
        <w:spacing w:before="240" w:after="120"/>
        <w:jc w:val="both"/>
        <w:rPr>
          <w:i/>
          <w:iCs/>
          <w:sz w:val="20"/>
          <w:szCs w:val="20"/>
        </w:rPr>
      </w:pPr>
      <w:bookmarkStart w:id="2" w:name="_Hlk140598678"/>
      <w:r w:rsidRPr="003D2275">
        <w:rPr>
          <w:b/>
          <w:bCs/>
          <w:sz w:val="20"/>
          <w:szCs w:val="20"/>
        </w:rPr>
        <w:t>Tab. 3 – Il rallentamento del mercato immobiliare in</w:t>
      </w:r>
      <w:r w:rsidRPr="004B3CAA">
        <w:rPr>
          <w:b/>
          <w:bCs/>
          <w:sz w:val="20"/>
          <w:szCs w:val="20"/>
        </w:rPr>
        <w:t xml:space="preserve"> Italia. Variazioni attese delle compravendite 2023/22 </w:t>
      </w:r>
      <w:r w:rsidRPr="004B3CAA">
        <w:rPr>
          <w:i/>
          <w:iCs/>
          <w:sz w:val="20"/>
          <w:szCs w:val="20"/>
        </w:rPr>
        <w:t>(</w:t>
      </w:r>
      <w:proofErr w:type="gramStart"/>
      <w:r w:rsidRPr="004B3CAA">
        <w:rPr>
          <w:i/>
          <w:iCs/>
          <w:sz w:val="20"/>
          <w:szCs w:val="20"/>
        </w:rPr>
        <w:t>var.%</w:t>
      </w:r>
      <w:proofErr w:type="gramEnd"/>
      <w:r w:rsidRPr="004B3CAA">
        <w:rPr>
          <w:i/>
          <w:iCs/>
          <w:sz w:val="20"/>
          <w:szCs w:val="20"/>
        </w:rPr>
        <w:t>)</w:t>
      </w:r>
    </w:p>
    <w:tbl>
      <w:tblPr>
        <w:tblStyle w:val="Grigliatabel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1"/>
        <w:gridCol w:w="2907"/>
      </w:tblGrid>
      <w:tr w:rsidR="00315231" w:rsidRPr="004B3CAA" w14:paraId="676D288A" w14:textId="77777777" w:rsidTr="00364B8A">
        <w:trPr>
          <w:trHeight w:val="454"/>
        </w:trPr>
        <w:tc>
          <w:tcPr>
            <w:tcW w:w="3492" w:type="pct"/>
            <w:tcBorders>
              <w:top w:val="single" w:sz="4" w:space="0" w:color="auto"/>
              <w:left w:val="nil"/>
              <w:bottom w:val="single" w:sz="4" w:space="0" w:color="auto"/>
              <w:right w:val="nil"/>
            </w:tcBorders>
            <w:noWrap/>
            <w:vAlign w:val="center"/>
            <w:hideMark/>
          </w:tcPr>
          <w:bookmarkEnd w:id="2"/>
          <w:p w14:paraId="502B8E17" w14:textId="77777777" w:rsidR="00315231" w:rsidRPr="004B3CAA" w:rsidRDefault="00315231" w:rsidP="00364B8A">
            <w:pPr>
              <w:rPr>
                <w:sz w:val="20"/>
                <w:szCs w:val="20"/>
                <w:lang w:eastAsia="en-US"/>
              </w:rPr>
            </w:pPr>
            <w:r w:rsidRPr="004B3CAA">
              <w:rPr>
                <w:sz w:val="20"/>
                <w:szCs w:val="20"/>
                <w:lang w:eastAsia="en-US"/>
              </w:rPr>
              <w:t>Tipologia compravendite</w:t>
            </w:r>
          </w:p>
        </w:tc>
        <w:tc>
          <w:tcPr>
            <w:tcW w:w="1508" w:type="pct"/>
            <w:tcBorders>
              <w:top w:val="single" w:sz="4" w:space="0" w:color="auto"/>
              <w:left w:val="nil"/>
              <w:bottom w:val="single" w:sz="4" w:space="0" w:color="auto"/>
              <w:right w:val="nil"/>
            </w:tcBorders>
            <w:noWrap/>
            <w:vAlign w:val="center"/>
            <w:hideMark/>
          </w:tcPr>
          <w:p w14:paraId="31F6E2F2" w14:textId="77777777" w:rsidR="00315231" w:rsidRPr="004B3CAA" w:rsidRDefault="00315231" w:rsidP="00364B8A">
            <w:pPr>
              <w:jc w:val="center"/>
              <w:rPr>
                <w:sz w:val="20"/>
                <w:szCs w:val="20"/>
                <w:lang w:eastAsia="en-US"/>
              </w:rPr>
            </w:pPr>
            <w:r w:rsidRPr="004B3CAA">
              <w:rPr>
                <w:sz w:val="20"/>
                <w:szCs w:val="20"/>
                <w:lang w:eastAsia="en-US"/>
              </w:rPr>
              <w:t>var. % 2023/2022</w:t>
            </w:r>
          </w:p>
        </w:tc>
      </w:tr>
      <w:tr w:rsidR="00315231" w:rsidRPr="004B3CAA" w14:paraId="116D8136" w14:textId="77777777" w:rsidTr="00364B8A">
        <w:trPr>
          <w:trHeight w:val="454"/>
        </w:trPr>
        <w:tc>
          <w:tcPr>
            <w:tcW w:w="3492" w:type="pct"/>
            <w:tcBorders>
              <w:top w:val="single" w:sz="4" w:space="0" w:color="auto"/>
              <w:left w:val="nil"/>
              <w:bottom w:val="nil"/>
              <w:right w:val="nil"/>
            </w:tcBorders>
            <w:noWrap/>
            <w:vAlign w:val="center"/>
            <w:hideMark/>
          </w:tcPr>
          <w:p w14:paraId="61B93309" w14:textId="77777777" w:rsidR="00315231" w:rsidRPr="004B3CAA" w:rsidRDefault="00315231" w:rsidP="00364B8A">
            <w:pPr>
              <w:rPr>
                <w:sz w:val="20"/>
                <w:szCs w:val="20"/>
                <w:lang w:eastAsia="en-US"/>
              </w:rPr>
            </w:pPr>
            <w:r w:rsidRPr="004B3CAA">
              <w:rPr>
                <w:sz w:val="20"/>
                <w:szCs w:val="20"/>
                <w:lang w:eastAsia="en-US"/>
              </w:rPr>
              <w:t>Prima casa tra privati</w:t>
            </w:r>
          </w:p>
        </w:tc>
        <w:tc>
          <w:tcPr>
            <w:tcW w:w="1508" w:type="pct"/>
            <w:tcBorders>
              <w:top w:val="single" w:sz="4" w:space="0" w:color="auto"/>
              <w:left w:val="nil"/>
              <w:bottom w:val="nil"/>
              <w:right w:val="nil"/>
            </w:tcBorders>
            <w:noWrap/>
            <w:vAlign w:val="center"/>
            <w:hideMark/>
          </w:tcPr>
          <w:p w14:paraId="18E7D89B" w14:textId="77777777" w:rsidR="00315231" w:rsidRPr="004B3CAA" w:rsidRDefault="00315231" w:rsidP="00364B8A">
            <w:pPr>
              <w:jc w:val="center"/>
              <w:rPr>
                <w:sz w:val="20"/>
                <w:szCs w:val="20"/>
                <w:lang w:eastAsia="en-US"/>
              </w:rPr>
            </w:pPr>
            <w:r w:rsidRPr="004B3CAA">
              <w:rPr>
                <w:sz w:val="20"/>
                <w:szCs w:val="20"/>
                <w:lang w:eastAsia="en-US"/>
              </w:rPr>
              <w:t>-17,1</w:t>
            </w:r>
          </w:p>
        </w:tc>
      </w:tr>
      <w:tr w:rsidR="00315231" w:rsidRPr="004B3CAA" w14:paraId="2C9AEABD" w14:textId="77777777" w:rsidTr="00364B8A">
        <w:trPr>
          <w:trHeight w:val="454"/>
        </w:trPr>
        <w:tc>
          <w:tcPr>
            <w:tcW w:w="3492" w:type="pct"/>
            <w:noWrap/>
            <w:vAlign w:val="center"/>
            <w:hideMark/>
          </w:tcPr>
          <w:p w14:paraId="3102B25C" w14:textId="77777777" w:rsidR="00315231" w:rsidRPr="004B3CAA" w:rsidRDefault="00315231" w:rsidP="00364B8A">
            <w:pPr>
              <w:rPr>
                <w:sz w:val="20"/>
                <w:szCs w:val="20"/>
                <w:lang w:eastAsia="en-US"/>
              </w:rPr>
            </w:pPr>
            <w:r w:rsidRPr="004B3CAA">
              <w:rPr>
                <w:sz w:val="20"/>
                <w:szCs w:val="20"/>
                <w:lang w:eastAsia="en-US"/>
              </w:rPr>
              <w:t>Seconda casa tra privati</w:t>
            </w:r>
          </w:p>
        </w:tc>
        <w:tc>
          <w:tcPr>
            <w:tcW w:w="1508" w:type="pct"/>
            <w:noWrap/>
            <w:vAlign w:val="center"/>
            <w:hideMark/>
          </w:tcPr>
          <w:p w14:paraId="4F8140AC" w14:textId="77777777" w:rsidR="00315231" w:rsidRPr="004B3CAA" w:rsidRDefault="00315231" w:rsidP="00364B8A">
            <w:pPr>
              <w:jc w:val="center"/>
              <w:rPr>
                <w:sz w:val="20"/>
                <w:szCs w:val="20"/>
                <w:lang w:eastAsia="en-US"/>
              </w:rPr>
            </w:pPr>
            <w:r w:rsidRPr="004B3CAA">
              <w:rPr>
                <w:sz w:val="20"/>
                <w:szCs w:val="20"/>
                <w:lang w:eastAsia="en-US"/>
              </w:rPr>
              <w:t>-2,5</w:t>
            </w:r>
          </w:p>
        </w:tc>
      </w:tr>
      <w:tr w:rsidR="00315231" w:rsidRPr="004B3CAA" w14:paraId="474D0168" w14:textId="77777777" w:rsidTr="00364B8A">
        <w:trPr>
          <w:trHeight w:val="454"/>
        </w:trPr>
        <w:tc>
          <w:tcPr>
            <w:tcW w:w="3492" w:type="pct"/>
            <w:noWrap/>
            <w:vAlign w:val="center"/>
            <w:hideMark/>
          </w:tcPr>
          <w:p w14:paraId="4E2C2FD9" w14:textId="77777777" w:rsidR="00315231" w:rsidRPr="004B3CAA" w:rsidRDefault="00315231" w:rsidP="00364B8A">
            <w:pPr>
              <w:rPr>
                <w:sz w:val="20"/>
                <w:szCs w:val="20"/>
                <w:lang w:eastAsia="en-US"/>
              </w:rPr>
            </w:pPr>
            <w:r w:rsidRPr="004B3CAA">
              <w:rPr>
                <w:sz w:val="20"/>
                <w:szCs w:val="20"/>
                <w:lang w:eastAsia="en-US"/>
              </w:rPr>
              <w:t>Totale fabbricati abitativi</w:t>
            </w:r>
          </w:p>
        </w:tc>
        <w:tc>
          <w:tcPr>
            <w:tcW w:w="1508" w:type="pct"/>
            <w:noWrap/>
            <w:vAlign w:val="center"/>
            <w:hideMark/>
          </w:tcPr>
          <w:p w14:paraId="103473D9" w14:textId="77777777" w:rsidR="00315231" w:rsidRPr="004B3CAA" w:rsidRDefault="00315231" w:rsidP="00364B8A">
            <w:pPr>
              <w:jc w:val="center"/>
              <w:rPr>
                <w:sz w:val="20"/>
                <w:szCs w:val="20"/>
                <w:lang w:eastAsia="en-US"/>
              </w:rPr>
            </w:pPr>
            <w:r w:rsidRPr="004B3CAA">
              <w:rPr>
                <w:sz w:val="20"/>
                <w:szCs w:val="20"/>
                <w:lang w:eastAsia="en-US"/>
              </w:rPr>
              <w:t>-10,</w:t>
            </w:r>
            <w:r>
              <w:rPr>
                <w:sz w:val="20"/>
                <w:szCs w:val="20"/>
                <w:lang w:eastAsia="en-US"/>
              </w:rPr>
              <w:t>7</w:t>
            </w:r>
          </w:p>
        </w:tc>
      </w:tr>
      <w:tr w:rsidR="00315231" w:rsidRPr="004B3CAA" w14:paraId="6099B5E5" w14:textId="77777777" w:rsidTr="00364B8A">
        <w:trPr>
          <w:trHeight w:val="454"/>
        </w:trPr>
        <w:tc>
          <w:tcPr>
            <w:tcW w:w="3492" w:type="pct"/>
            <w:noWrap/>
            <w:vAlign w:val="center"/>
            <w:hideMark/>
          </w:tcPr>
          <w:p w14:paraId="703BC7BF" w14:textId="77777777" w:rsidR="00315231" w:rsidRPr="004B3CAA" w:rsidRDefault="00315231" w:rsidP="00364B8A">
            <w:pPr>
              <w:rPr>
                <w:sz w:val="20"/>
                <w:szCs w:val="20"/>
                <w:lang w:eastAsia="en-US"/>
              </w:rPr>
            </w:pPr>
            <w:r w:rsidRPr="004B3CAA">
              <w:rPr>
                <w:sz w:val="20"/>
                <w:szCs w:val="20"/>
                <w:lang w:eastAsia="en-US"/>
              </w:rPr>
              <w:t>Mutui (n. finanziamenti per acquisto di abitazioni)</w:t>
            </w:r>
          </w:p>
        </w:tc>
        <w:tc>
          <w:tcPr>
            <w:tcW w:w="1508" w:type="pct"/>
            <w:noWrap/>
            <w:vAlign w:val="center"/>
            <w:hideMark/>
          </w:tcPr>
          <w:p w14:paraId="406AE9D7" w14:textId="77777777" w:rsidR="00315231" w:rsidRPr="004B3CAA" w:rsidRDefault="00315231" w:rsidP="00364B8A">
            <w:pPr>
              <w:jc w:val="center"/>
              <w:rPr>
                <w:sz w:val="20"/>
                <w:szCs w:val="20"/>
                <w:lang w:eastAsia="en-US"/>
              </w:rPr>
            </w:pPr>
            <w:r w:rsidRPr="004B3CAA">
              <w:rPr>
                <w:sz w:val="20"/>
                <w:szCs w:val="20"/>
                <w:lang w:eastAsia="en-US"/>
              </w:rPr>
              <w:t>-10,1</w:t>
            </w:r>
          </w:p>
        </w:tc>
      </w:tr>
      <w:tr w:rsidR="00315231" w:rsidRPr="004B3CAA" w14:paraId="43647B7D" w14:textId="77777777" w:rsidTr="00364B8A">
        <w:trPr>
          <w:trHeight w:val="454"/>
        </w:trPr>
        <w:tc>
          <w:tcPr>
            <w:tcW w:w="3492" w:type="pct"/>
            <w:tcBorders>
              <w:top w:val="nil"/>
              <w:left w:val="nil"/>
              <w:bottom w:val="single" w:sz="4" w:space="0" w:color="auto"/>
              <w:right w:val="nil"/>
            </w:tcBorders>
            <w:noWrap/>
            <w:vAlign w:val="center"/>
            <w:hideMark/>
          </w:tcPr>
          <w:p w14:paraId="03E3F567" w14:textId="77777777" w:rsidR="00315231" w:rsidRPr="004B3CAA" w:rsidRDefault="00315231" w:rsidP="00364B8A">
            <w:pPr>
              <w:ind w:left="708"/>
              <w:rPr>
                <w:i/>
                <w:iCs/>
                <w:sz w:val="20"/>
                <w:szCs w:val="20"/>
                <w:lang w:eastAsia="en-US"/>
              </w:rPr>
            </w:pPr>
            <w:r w:rsidRPr="004B3CAA">
              <w:rPr>
                <w:i/>
                <w:iCs/>
                <w:sz w:val="20"/>
                <w:szCs w:val="20"/>
                <w:lang w:eastAsia="en-US"/>
              </w:rPr>
              <w:lastRenderedPageBreak/>
              <w:t>Di cui: mutui compresi fra 50mila e 150mila €</w:t>
            </w:r>
          </w:p>
        </w:tc>
        <w:tc>
          <w:tcPr>
            <w:tcW w:w="1508" w:type="pct"/>
            <w:tcBorders>
              <w:top w:val="nil"/>
              <w:left w:val="nil"/>
              <w:bottom w:val="single" w:sz="4" w:space="0" w:color="auto"/>
              <w:right w:val="nil"/>
            </w:tcBorders>
            <w:noWrap/>
            <w:vAlign w:val="center"/>
            <w:hideMark/>
          </w:tcPr>
          <w:p w14:paraId="5B4A1069" w14:textId="77777777" w:rsidR="00315231" w:rsidRPr="004B3CAA" w:rsidRDefault="00315231" w:rsidP="00364B8A">
            <w:pPr>
              <w:jc w:val="center"/>
              <w:rPr>
                <w:i/>
                <w:iCs/>
                <w:sz w:val="20"/>
                <w:szCs w:val="20"/>
                <w:lang w:eastAsia="en-US"/>
              </w:rPr>
            </w:pPr>
            <w:r w:rsidRPr="004B3CAA">
              <w:rPr>
                <w:i/>
                <w:iCs/>
                <w:sz w:val="20"/>
                <w:szCs w:val="20"/>
                <w:lang w:eastAsia="en-US"/>
              </w:rPr>
              <w:t>-9,6</w:t>
            </w:r>
          </w:p>
        </w:tc>
      </w:tr>
    </w:tbl>
    <w:p w14:paraId="00E2411B" w14:textId="77777777" w:rsidR="00315231" w:rsidRPr="004B3CAA" w:rsidRDefault="00315231" w:rsidP="00315231">
      <w:pPr>
        <w:spacing w:before="120"/>
        <w:jc w:val="both"/>
        <w:rPr>
          <w:b/>
          <w:bCs/>
          <w:sz w:val="20"/>
          <w:szCs w:val="20"/>
        </w:rPr>
      </w:pPr>
      <w:bookmarkStart w:id="3" w:name="_Hlk140597197"/>
      <w:r w:rsidRPr="004B3CAA">
        <w:rPr>
          <w:b/>
          <w:bCs/>
          <w:sz w:val="20"/>
          <w:szCs w:val="20"/>
        </w:rPr>
        <w:t>Fonte: elaborazione Censis su dati Consiglio Nazionale del Notariato</w:t>
      </w:r>
    </w:p>
    <w:bookmarkEnd w:id="3"/>
    <w:p w14:paraId="02E8625C" w14:textId="77777777" w:rsidR="00315231" w:rsidRPr="004B3CAA" w:rsidRDefault="00315231" w:rsidP="00315231">
      <w:pPr>
        <w:spacing w:before="120" w:after="120"/>
        <w:jc w:val="both"/>
      </w:pPr>
      <w:r w:rsidRPr="004B3CAA">
        <w:t>Da questa prospettiva occorre ricordare che in Italia, su un totale di 25 milioni e 600 mila famiglie, 18,</w:t>
      </w:r>
      <w:r>
        <w:t>2</w:t>
      </w:r>
      <w:r w:rsidRPr="004B3CAA">
        <w:t xml:space="preserve"> milioni sono proprietarie dell’abitazione in cui vivono (il 70,8%, dati al 2021). Di queste, al momento, 3,3 milioni di famiglie (il 12,</w:t>
      </w:r>
      <w:r>
        <w:t>8</w:t>
      </w:r>
      <w:r w:rsidRPr="004B3CAA">
        <w:t>% sul totale) sono impegnate con un mutuo da pagare e, all’interno di questa componente, circa 700 mila hanno già mostrato difficoltà, ritardando il pagamento di almeno una rata mensile</w:t>
      </w:r>
      <w:r>
        <w:t>.</w:t>
      </w:r>
    </w:p>
    <w:bookmarkEnd w:id="1"/>
    <w:p w14:paraId="281203B8" w14:textId="77777777" w:rsidR="00315231" w:rsidRPr="00644AFA" w:rsidRDefault="00315231" w:rsidP="00315231">
      <w:pPr>
        <w:spacing w:before="120" w:after="120"/>
        <w:jc w:val="both"/>
        <w:rPr>
          <w:b/>
          <w:bCs/>
        </w:rPr>
      </w:pPr>
      <w:r w:rsidRPr="004B3CAA">
        <w:rPr>
          <w:b/>
          <w:bCs/>
        </w:rPr>
        <w:t>GLI EFFETTI SULLE IMPRESE</w:t>
      </w:r>
      <w:r>
        <w:rPr>
          <w:b/>
          <w:bCs/>
        </w:rPr>
        <w:t xml:space="preserve"> </w:t>
      </w:r>
      <w:r w:rsidRPr="004B3CAA">
        <w:rPr>
          <w:b/>
          <w:bCs/>
        </w:rPr>
        <w:t>E SULLA CRESCITA</w:t>
      </w:r>
      <w:r>
        <w:rPr>
          <w:b/>
          <w:bCs/>
        </w:rPr>
        <w:t xml:space="preserve">: </w:t>
      </w:r>
      <w:r w:rsidRPr="004B3CAA">
        <w:t xml:space="preserve">Le imprese stanno incontrando nuove difficoltà nell’accesso al credito, sebbene ancora in maniera contenuta. A marzo di quest’anno, rispetto a marzo dello scorso anno, i prestiti </w:t>
      </w:r>
      <w:r>
        <w:t xml:space="preserve">alle </w:t>
      </w:r>
      <w:r w:rsidRPr="004B3CAA">
        <w:t>imprese del settore manifatturiero si sono ridotti dell’1,5% e nelle costruzioni dell’1,3%. Più ampia è la differenza che separa l’accesso al credito delle piccole imprese da quello delle imprese medio-grandi: per queste ultime la riduzione nel periodo è stato di sei decimi di punto, mentre per le prime ha raggiunto il 4,4%</w:t>
      </w:r>
      <w:r>
        <w:t xml:space="preserve"> (</w:t>
      </w:r>
      <w:r w:rsidRPr="004B3CAA">
        <w:rPr>
          <w:b/>
          <w:bCs/>
          <w:sz w:val="20"/>
          <w:szCs w:val="20"/>
        </w:rPr>
        <w:t xml:space="preserve">Tab. </w:t>
      </w:r>
      <w:r>
        <w:rPr>
          <w:b/>
          <w:bCs/>
          <w:sz w:val="20"/>
          <w:szCs w:val="20"/>
        </w:rPr>
        <w:t>4)</w:t>
      </w:r>
      <w:r w:rsidRPr="004B3CAA">
        <w:t>. Nel 2022, i dati di confronto con l’anno precedente indicano una situazione ancora non particolarmente definita: i prestiti erogati da società finanziarie, ad esempio, erano cresciuti del 5,1%, ed anche nel 2023 questi operatori hanno continuato a mantenere una variazione positiva nell’erogazione dei prestiti alle imprese.</w:t>
      </w:r>
    </w:p>
    <w:p w14:paraId="562573D5" w14:textId="77777777" w:rsidR="00315231" w:rsidRDefault="00315231" w:rsidP="00315231">
      <w:pPr>
        <w:spacing w:before="120"/>
        <w:jc w:val="both"/>
        <w:rPr>
          <w:b/>
          <w:bCs/>
          <w:sz w:val="20"/>
          <w:szCs w:val="20"/>
        </w:rPr>
      </w:pPr>
      <w:r w:rsidRPr="004B3CAA">
        <w:rPr>
          <w:b/>
          <w:bCs/>
          <w:sz w:val="20"/>
          <w:szCs w:val="20"/>
        </w:rPr>
        <w:t xml:space="preserve">Tab. </w:t>
      </w:r>
      <w:r>
        <w:rPr>
          <w:b/>
          <w:bCs/>
          <w:sz w:val="20"/>
          <w:szCs w:val="20"/>
        </w:rPr>
        <w:t>4</w:t>
      </w:r>
      <w:r w:rsidRPr="004B3CAA">
        <w:rPr>
          <w:b/>
          <w:bCs/>
          <w:sz w:val="20"/>
          <w:szCs w:val="20"/>
        </w:rPr>
        <w:t xml:space="preserve"> – La stretta al credito: andamento dei prestiti ricevuti dalle imprese. 2022 e marzo 2023</w:t>
      </w:r>
      <w:r w:rsidRPr="004B3CAA">
        <w:rPr>
          <w:sz w:val="20"/>
          <w:szCs w:val="20"/>
        </w:rPr>
        <w:t xml:space="preserve"> </w:t>
      </w:r>
      <w:r w:rsidRPr="004B3CAA">
        <w:rPr>
          <w:i/>
          <w:iCs/>
          <w:sz w:val="20"/>
          <w:szCs w:val="20"/>
        </w:rPr>
        <w:t>(var. % sul periodo corrispondente dell’anno precedente</w:t>
      </w:r>
      <w:r w:rsidRPr="004B3CAA">
        <w:rPr>
          <w:sz w:val="20"/>
          <w:szCs w:val="20"/>
        </w:rPr>
        <w:t>)</w:t>
      </w:r>
      <w:r>
        <w:rPr>
          <w:sz w:val="20"/>
          <w:szCs w:val="20"/>
        </w:rPr>
        <w:t xml:space="preserve">. </w:t>
      </w:r>
      <w:r w:rsidRPr="004B3CAA">
        <w:rPr>
          <w:b/>
          <w:bCs/>
          <w:sz w:val="20"/>
          <w:szCs w:val="20"/>
        </w:rPr>
        <w:t>Fonte: Banca d’Italia</w:t>
      </w:r>
    </w:p>
    <w:tbl>
      <w:tblPr>
        <w:tblStyle w:val="Grigliatabella"/>
        <w:tblW w:w="507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1964"/>
        <w:gridCol w:w="3254"/>
      </w:tblGrid>
      <w:tr w:rsidR="00315231" w:rsidRPr="004B3CAA" w14:paraId="5907D6EA" w14:textId="77777777" w:rsidTr="00F312A4">
        <w:trPr>
          <w:trHeight w:val="316"/>
        </w:trPr>
        <w:tc>
          <w:tcPr>
            <w:tcW w:w="2330" w:type="pct"/>
            <w:tcBorders>
              <w:top w:val="single" w:sz="4" w:space="0" w:color="auto"/>
              <w:left w:val="nil"/>
              <w:bottom w:val="nil"/>
              <w:right w:val="nil"/>
            </w:tcBorders>
            <w:noWrap/>
            <w:vAlign w:val="center"/>
          </w:tcPr>
          <w:p w14:paraId="75D99698" w14:textId="77777777" w:rsidR="00315231" w:rsidRPr="004B3CAA" w:rsidRDefault="00315231" w:rsidP="00364B8A">
            <w:pPr>
              <w:rPr>
                <w:sz w:val="20"/>
                <w:szCs w:val="20"/>
                <w:lang w:eastAsia="en-US"/>
              </w:rPr>
            </w:pPr>
          </w:p>
        </w:tc>
        <w:tc>
          <w:tcPr>
            <w:tcW w:w="2670" w:type="pct"/>
            <w:gridSpan w:val="2"/>
            <w:tcBorders>
              <w:top w:val="single" w:sz="4" w:space="0" w:color="auto"/>
              <w:left w:val="nil"/>
              <w:bottom w:val="nil"/>
              <w:right w:val="nil"/>
            </w:tcBorders>
            <w:noWrap/>
            <w:vAlign w:val="center"/>
            <w:hideMark/>
          </w:tcPr>
          <w:p w14:paraId="37733011" w14:textId="77777777" w:rsidR="00315231" w:rsidRPr="004B3CAA" w:rsidRDefault="00315231" w:rsidP="00364B8A">
            <w:pPr>
              <w:jc w:val="center"/>
              <w:rPr>
                <w:sz w:val="20"/>
                <w:szCs w:val="20"/>
                <w:lang w:eastAsia="en-US"/>
              </w:rPr>
            </w:pPr>
            <w:r w:rsidRPr="004B3CAA">
              <w:rPr>
                <w:sz w:val="20"/>
                <w:szCs w:val="20"/>
                <w:lang w:eastAsia="en-US"/>
              </w:rPr>
              <w:t>Prestiti alle imprese</w:t>
            </w:r>
          </w:p>
        </w:tc>
      </w:tr>
      <w:tr w:rsidR="00315231" w:rsidRPr="004B3CAA" w14:paraId="68DFBC64" w14:textId="77777777" w:rsidTr="00F312A4">
        <w:trPr>
          <w:trHeight w:val="158"/>
        </w:trPr>
        <w:tc>
          <w:tcPr>
            <w:tcW w:w="2330" w:type="pct"/>
            <w:tcBorders>
              <w:top w:val="nil"/>
              <w:left w:val="nil"/>
              <w:bottom w:val="single" w:sz="4" w:space="0" w:color="auto"/>
              <w:right w:val="nil"/>
            </w:tcBorders>
            <w:noWrap/>
            <w:vAlign w:val="center"/>
            <w:hideMark/>
          </w:tcPr>
          <w:p w14:paraId="1CCCA793" w14:textId="77777777" w:rsidR="00315231" w:rsidRPr="004B3CAA" w:rsidRDefault="00315231" w:rsidP="00364B8A">
            <w:pPr>
              <w:rPr>
                <w:sz w:val="20"/>
                <w:szCs w:val="20"/>
                <w:lang w:eastAsia="en-US"/>
              </w:rPr>
            </w:pPr>
            <w:r w:rsidRPr="004B3CAA">
              <w:rPr>
                <w:sz w:val="20"/>
                <w:szCs w:val="20"/>
                <w:lang w:eastAsia="en-US"/>
              </w:rPr>
              <w:t>Settori</w:t>
            </w:r>
          </w:p>
        </w:tc>
        <w:tc>
          <w:tcPr>
            <w:tcW w:w="1005" w:type="pct"/>
            <w:tcBorders>
              <w:top w:val="nil"/>
              <w:left w:val="nil"/>
              <w:bottom w:val="single" w:sz="4" w:space="0" w:color="auto"/>
              <w:right w:val="nil"/>
            </w:tcBorders>
            <w:noWrap/>
            <w:vAlign w:val="center"/>
            <w:hideMark/>
          </w:tcPr>
          <w:p w14:paraId="724580B3" w14:textId="77777777" w:rsidR="00315231" w:rsidRPr="004B3CAA" w:rsidRDefault="00315231" w:rsidP="00364B8A">
            <w:pPr>
              <w:jc w:val="center"/>
              <w:rPr>
                <w:sz w:val="20"/>
                <w:szCs w:val="20"/>
                <w:lang w:eastAsia="en-US"/>
              </w:rPr>
            </w:pPr>
            <w:r w:rsidRPr="004B3CAA">
              <w:rPr>
                <w:sz w:val="20"/>
                <w:szCs w:val="20"/>
                <w:lang w:eastAsia="en-US"/>
              </w:rPr>
              <w:t>Var. % 2022/2021</w:t>
            </w:r>
          </w:p>
        </w:tc>
        <w:tc>
          <w:tcPr>
            <w:tcW w:w="1664" w:type="pct"/>
            <w:tcBorders>
              <w:top w:val="nil"/>
              <w:left w:val="nil"/>
              <w:bottom w:val="single" w:sz="4" w:space="0" w:color="auto"/>
              <w:right w:val="nil"/>
            </w:tcBorders>
            <w:noWrap/>
            <w:vAlign w:val="center"/>
            <w:hideMark/>
          </w:tcPr>
          <w:p w14:paraId="6F674C1C" w14:textId="77777777" w:rsidR="00315231" w:rsidRPr="004B3CAA" w:rsidRDefault="00315231" w:rsidP="00364B8A">
            <w:pPr>
              <w:jc w:val="center"/>
              <w:rPr>
                <w:sz w:val="20"/>
                <w:szCs w:val="20"/>
                <w:lang w:eastAsia="en-US"/>
              </w:rPr>
            </w:pPr>
            <w:r w:rsidRPr="004B3CAA">
              <w:rPr>
                <w:sz w:val="20"/>
                <w:szCs w:val="20"/>
                <w:lang w:eastAsia="en-US"/>
              </w:rPr>
              <w:t>Var. % marzo 2023/marzo 2022</w:t>
            </w:r>
          </w:p>
        </w:tc>
      </w:tr>
      <w:tr w:rsidR="00315231" w:rsidRPr="004B3CAA" w14:paraId="1396D2B8" w14:textId="77777777" w:rsidTr="00F312A4">
        <w:trPr>
          <w:trHeight w:val="316"/>
        </w:trPr>
        <w:tc>
          <w:tcPr>
            <w:tcW w:w="2330" w:type="pct"/>
            <w:tcBorders>
              <w:top w:val="single" w:sz="4" w:space="0" w:color="auto"/>
              <w:left w:val="nil"/>
              <w:bottom w:val="nil"/>
              <w:right w:val="nil"/>
            </w:tcBorders>
            <w:noWrap/>
            <w:vAlign w:val="center"/>
            <w:hideMark/>
          </w:tcPr>
          <w:p w14:paraId="6A4B29A8" w14:textId="77777777" w:rsidR="00315231" w:rsidRPr="004B3CAA" w:rsidRDefault="00315231" w:rsidP="00364B8A">
            <w:pPr>
              <w:rPr>
                <w:sz w:val="20"/>
                <w:szCs w:val="20"/>
                <w:lang w:eastAsia="en-US"/>
              </w:rPr>
            </w:pPr>
            <w:r w:rsidRPr="004B3CAA">
              <w:rPr>
                <w:sz w:val="20"/>
                <w:szCs w:val="20"/>
                <w:lang w:eastAsia="en-US"/>
              </w:rPr>
              <w:t>Manifattura</w:t>
            </w:r>
          </w:p>
        </w:tc>
        <w:tc>
          <w:tcPr>
            <w:tcW w:w="1005" w:type="pct"/>
            <w:tcBorders>
              <w:top w:val="single" w:sz="4" w:space="0" w:color="auto"/>
              <w:left w:val="nil"/>
              <w:bottom w:val="nil"/>
              <w:right w:val="nil"/>
            </w:tcBorders>
            <w:noWrap/>
            <w:vAlign w:val="center"/>
            <w:hideMark/>
          </w:tcPr>
          <w:p w14:paraId="608A105C" w14:textId="77777777" w:rsidR="00315231" w:rsidRPr="004B3CAA" w:rsidRDefault="00315231" w:rsidP="00364B8A">
            <w:pPr>
              <w:jc w:val="center"/>
              <w:rPr>
                <w:sz w:val="20"/>
                <w:szCs w:val="20"/>
                <w:lang w:eastAsia="en-US"/>
              </w:rPr>
            </w:pPr>
            <w:r w:rsidRPr="004B3CAA">
              <w:rPr>
                <w:sz w:val="20"/>
                <w:szCs w:val="20"/>
                <w:lang w:eastAsia="en-US"/>
              </w:rPr>
              <w:t>-0,9</w:t>
            </w:r>
          </w:p>
        </w:tc>
        <w:tc>
          <w:tcPr>
            <w:tcW w:w="1664" w:type="pct"/>
            <w:tcBorders>
              <w:top w:val="single" w:sz="4" w:space="0" w:color="auto"/>
              <w:left w:val="nil"/>
              <w:bottom w:val="nil"/>
              <w:right w:val="nil"/>
            </w:tcBorders>
            <w:noWrap/>
            <w:vAlign w:val="center"/>
            <w:hideMark/>
          </w:tcPr>
          <w:p w14:paraId="2BA27CB4" w14:textId="77777777" w:rsidR="00315231" w:rsidRPr="004B3CAA" w:rsidRDefault="00315231" w:rsidP="00364B8A">
            <w:pPr>
              <w:jc w:val="center"/>
              <w:rPr>
                <w:sz w:val="20"/>
                <w:szCs w:val="20"/>
                <w:lang w:eastAsia="en-US"/>
              </w:rPr>
            </w:pPr>
            <w:r w:rsidRPr="004B3CAA">
              <w:rPr>
                <w:sz w:val="20"/>
                <w:szCs w:val="20"/>
                <w:lang w:eastAsia="en-US"/>
              </w:rPr>
              <w:t>-1,5</w:t>
            </w:r>
          </w:p>
        </w:tc>
      </w:tr>
      <w:tr w:rsidR="00315231" w:rsidRPr="004B3CAA" w14:paraId="0C44CC3F" w14:textId="77777777" w:rsidTr="00F312A4">
        <w:trPr>
          <w:trHeight w:val="316"/>
        </w:trPr>
        <w:tc>
          <w:tcPr>
            <w:tcW w:w="2330" w:type="pct"/>
            <w:noWrap/>
            <w:vAlign w:val="center"/>
            <w:hideMark/>
          </w:tcPr>
          <w:p w14:paraId="1C1EA1B5" w14:textId="77777777" w:rsidR="00315231" w:rsidRPr="004B3CAA" w:rsidRDefault="00315231" w:rsidP="00364B8A">
            <w:pPr>
              <w:rPr>
                <w:sz w:val="20"/>
                <w:szCs w:val="20"/>
                <w:lang w:eastAsia="en-US"/>
              </w:rPr>
            </w:pPr>
            <w:r w:rsidRPr="004B3CAA">
              <w:rPr>
                <w:sz w:val="20"/>
                <w:szCs w:val="20"/>
                <w:lang w:eastAsia="en-US"/>
              </w:rPr>
              <w:t>Costruzioni</w:t>
            </w:r>
          </w:p>
        </w:tc>
        <w:tc>
          <w:tcPr>
            <w:tcW w:w="1005" w:type="pct"/>
            <w:noWrap/>
            <w:vAlign w:val="center"/>
            <w:hideMark/>
          </w:tcPr>
          <w:p w14:paraId="5E2E4D75" w14:textId="77777777" w:rsidR="00315231" w:rsidRPr="004B3CAA" w:rsidRDefault="00315231" w:rsidP="00364B8A">
            <w:pPr>
              <w:jc w:val="center"/>
              <w:rPr>
                <w:sz w:val="20"/>
                <w:szCs w:val="20"/>
                <w:lang w:eastAsia="en-US"/>
              </w:rPr>
            </w:pPr>
            <w:r w:rsidRPr="004B3CAA">
              <w:rPr>
                <w:sz w:val="20"/>
                <w:szCs w:val="20"/>
                <w:lang w:eastAsia="en-US"/>
              </w:rPr>
              <w:t>-0,7</w:t>
            </w:r>
          </w:p>
        </w:tc>
        <w:tc>
          <w:tcPr>
            <w:tcW w:w="1664" w:type="pct"/>
            <w:noWrap/>
            <w:vAlign w:val="center"/>
            <w:hideMark/>
          </w:tcPr>
          <w:p w14:paraId="315E5DE4" w14:textId="77777777" w:rsidR="00315231" w:rsidRPr="004B3CAA" w:rsidRDefault="00315231" w:rsidP="00364B8A">
            <w:pPr>
              <w:jc w:val="center"/>
              <w:rPr>
                <w:sz w:val="20"/>
                <w:szCs w:val="20"/>
                <w:lang w:eastAsia="en-US"/>
              </w:rPr>
            </w:pPr>
            <w:r w:rsidRPr="004B3CAA">
              <w:rPr>
                <w:sz w:val="20"/>
                <w:szCs w:val="20"/>
                <w:lang w:eastAsia="en-US"/>
              </w:rPr>
              <w:t>-1,3</w:t>
            </w:r>
          </w:p>
        </w:tc>
      </w:tr>
      <w:tr w:rsidR="00315231" w:rsidRPr="004B3CAA" w14:paraId="6830084A" w14:textId="77777777" w:rsidTr="00F312A4">
        <w:trPr>
          <w:trHeight w:val="316"/>
        </w:trPr>
        <w:tc>
          <w:tcPr>
            <w:tcW w:w="2330" w:type="pct"/>
            <w:noWrap/>
            <w:vAlign w:val="center"/>
            <w:hideMark/>
          </w:tcPr>
          <w:p w14:paraId="465C4D40" w14:textId="77777777" w:rsidR="00315231" w:rsidRPr="004B3CAA" w:rsidRDefault="00315231" w:rsidP="00364B8A">
            <w:pPr>
              <w:rPr>
                <w:sz w:val="20"/>
                <w:szCs w:val="20"/>
                <w:lang w:eastAsia="en-US"/>
              </w:rPr>
            </w:pPr>
            <w:r w:rsidRPr="004B3CAA">
              <w:rPr>
                <w:sz w:val="20"/>
                <w:szCs w:val="20"/>
                <w:lang w:eastAsia="en-US"/>
              </w:rPr>
              <w:t>Servizi</w:t>
            </w:r>
          </w:p>
        </w:tc>
        <w:tc>
          <w:tcPr>
            <w:tcW w:w="1005" w:type="pct"/>
            <w:noWrap/>
            <w:vAlign w:val="center"/>
            <w:hideMark/>
          </w:tcPr>
          <w:p w14:paraId="5E0C6B36" w14:textId="77777777" w:rsidR="00315231" w:rsidRPr="004B3CAA" w:rsidRDefault="00315231" w:rsidP="00364B8A">
            <w:pPr>
              <w:jc w:val="center"/>
              <w:rPr>
                <w:sz w:val="20"/>
                <w:szCs w:val="20"/>
                <w:lang w:eastAsia="en-US"/>
              </w:rPr>
            </w:pPr>
            <w:r w:rsidRPr="004B3CAA">
              <w:rPr>
                <w:sz w:val="20"/>
                <w:szCs w:val="20"/>
                <w:lang w:eastAsia="en-US"/>
              </w:rPr>
              <w:t>0,1</w:t>
            </w:r>
          </w:p>
        </w:tc>
        <w:tc>
          <w:tcPr>
            <w:tcW w:w="1664" w:type="pct"/>
            <w:noWrap/>
            <w:vAlign w:val="center"/>
            <w:hideMark/>
          </w:tcPr>
          <w:p w14:paraId="1D79E417" w14:textId="77777777" w:rsidR="00315231" w:rsidRPr="004B3CAA" w:rsidRDefault="00315231" w:rsidP="00364B8A">
            <w:pPr>
              <w:jc w:val="center"/>
              <w:rPr>
                <w:sz w:val="20"/>
                <w:szCs w:val="20"/>
                <w:lang w:eastAsia="en-US"/>
              </w:rPr>
            </w:pPr>
            <w:r w:rsidRPr="004B3CAA">
              <w:rPr>
                <w:sz w:val="20"/>
                <w:szCs w:val="20"/>
                <w:lang w:eastAsia="en-US"/>
              </w:rPr>
              <w:t>-0,1</w:t>
            </w:r>
          </w:p>
        </w:tc>
      </w:tr>
      <w:tr w:rsidR="00315231" w:rsidRPr="004B3CAA" w14:paraId="196656D0" w14:textId="77777777" w:rsidTr="00F312A4">
        <w:trPr>
          <w:trHeight w:val="316"/>
        </w:trPr>
        <w:tc>
          <w:tcPr>
            <w:tcW w:w="2330" w:type="pct"/>
            <w:noWrap/>
            <w:vAlign w:val="center"/>
            <w:hideMark/>
          </w:tcPr>
          <w:p w14:paraId="15BAF918" w14:textId="77777777" w:rsidR="00315231" w:rsidRPr="004B3CAA" w:rsidRDefault="00315231" w:rsidP="00364B8A">
            <w:pPr>
              <w:rPr>
                <w:sz w:val="20"/>
                <w:szCs w:val="20"/>
                <w:lang w:eastAsia="en-US"/>
              </w:rPr>
            </w:pPr>
            <w:r w:rsidRPr="004B3CAA">
              <w:rPr>
                <w:sz w:val="20"/>
                <w:szCs w:val="20"/>
                <w:lang w:eastAsia="en-US"/>
              </w:rPr>
              <w:t>Attività immobiliari</w:t>
            </w:r>
          </w:p>
        </w:tc>
        <w:tc>
          <w:tcPr>
            <w:tcW w:w="1005" w:type="pct"/>
            <w:noWrap/>
            <w:vAlign w:val="center"/>
            <w:hideMark/>
          </w:tcPr>
          <w:p w14:paraId="40F2CB03" w14:textId="77777777" w:rsidR="00315231" w:rsidRPr="004B3CAA" w:rsidRDefault="00315231" w:rsidP="00364B8A">
            <w:pPr>
              <w:jc w:val="center"/>
              <w:rPr>
                <w:sz w:val="20"/>
                <w:szCs w:val="20"/>
                <w:lang w:eastAsia="en-US"/>
              </w:rPr>
            </w:pPr>
            <w:r w:rsidRPr="004B3CAA">
              <w:rPr>
                <w:sz w:val="20"/>
                <w:szCs w:val="20"/>
                <w:lang w:eastAsia="en-US"/>
              </w:rPr>
              <w:t>-3,1</w:t>
            </w:r>
          </w:p>
        </w:tc>
        <w:tc>
          <w:tcPr>
            <w:tcW w:w="1664" w:type="pct"/>
            <w:noWrap/>
            <w:vAlign w:val="center"/>
            <w:hideMark/>
          </w:tcPr>
          <w:p w14:paraId="3D62FBE5" w14:textId="77777777" w:rsidR="00315231" w:rsidRPr="004B3CAA" w:rsidRDefault="00315231" w:rsidP="00364B8A">
            <w:pPr>
              <w:jc w:val="center"/>
              <w:rPr>
                <w:sz w:val="20"/>
                <w:szCs w:val="20"/>
                <w:lang w:eastAsia="en-US"/>
              </w:rPr>
            </w:pPr>
            <w:r w:rsidRPr="004B3CAA">
              <w:rPr>
                <w:sz w:val="20"/>
                <w:szCs w:val="20"/>
                <w:lang w:eastAsia="en-US"/>
              </w:rPr>
              <w:t>-5,0</w:t>
            </w:r>
          </w:p>
        </w:tc>
      </w:tr>
      <w:tr w:rsidR="00315231" w:rsidRPr="004B3CAA" w14:paraId="7318DA5C" w14:textId="77777777" w:rsidTr="00F312A4">
        <w:trPr>
          <w:trHeight w:val="316"/>
        </w:trPr>
        <w:tc>
          <w:tcPr>
            <w:tcW w:w="2330" w:type="pct"/>
            <w:noWrap/>
            <w:vAlign w:val="center"/>
            <w:hideMark/>
          </w:tcPr>
          <w:p w14:paraId="061D1C25" w14:textId="77777777" w:rsidR="00315231" w:rsidRPr="004B3CAA" w:rsidRDefault="00315231" w:rsidP="00364B8A">
            <w:pPr>
              <w:rPr>
                <w:sz w:val="20"/>
                <w:szCs w:val="20"/>
                <w:lang w:eastAsia="en-US"/>
              </w:rPr>
            </w:pPr>
            <w:r w:rsidRPr="004B3CAA">
              <w:rPr>
                <w:sz w:val="20"/>
                <w:szCs w:val="20"/>
                <w:lang w:eastAsia="en-US"/>
              </w:rPr>
              <w:t>Altro</w:t>
            </w:r>
          </w:p>
        </w:tc>
        <w:tc>
          <w:tcPr>
            <w:tcW w:w="1005" w:type="pct"/>
            <w:noWrap/>
            <w:vAlign w:val="center"/>
            <w:hideMark/>
          </w:tcPr>
          <w:p w14:paraId="25CD5BDC" w14:textId="77777777" w:rsidR="00315231" w:rsidRPr="004B3CAA" w:rsidRDefault="00315231" w:rsidP="00364B8A">
            <w:pPr>
              <w:jc w:val="center"/>
              <w:rPr>
                <w:sz w:val="20"/>
                <w:szCs w:val="20"/>
                <w:lang w:eastAsia="en-US"/>
              </w:rPr>
            </w:pPr>
            <w:r w:rsidRPr="004B3CAA">
              <w:rPr>
                <w:sz w:val="20"/>
                <w:szCs w:val="20"/>
                <w:lang w:eastAsia="en-US"/>
              </w:rPr>
              <w:t>0,5</w:t>
            </w:r>
          </w:p>
        </w:tc>
        <w:tc>
          <w:tcPr>
            <w:tcW w:w="1664" w:type="pct"/>
            <w:noWrap/>
            <w:vAlign w:val="center"/>
            <w:hideMark/>
          </w:tcPr>
          <w:p w14:paraId="5249C509" w14:textId="77777777" w:rsidR="00315231" w:rsidRPr="004B3CAA" w:rsidRDefault="00315231" w:rsidP="00364B8A">
            <w:pPr>
              <w:jc w:val="center"/>
              <w:rPr>
                <w:sz w:val="20"/>
                <w:szCs w:val="20"/>
                <w:lang w:eastAsia="en-US"/>
              </w:rPr>
            </w:pPr>
            <w:r w:rsidRPr="004B3CAA">
              <w:rPr>
                <w:sz w:val="20"/>
                <w:szCs w:val="20"/>
                <w:lang w:eastAsia="en-US"/>
              </w:rPr>
              <w:t>-2,0</w:t>
            </w:r>
          </w:p>
        </w:tc>
      </w:tr>
      <w:tr w:rsidR="00315231" w:rsidRPr="004B3CAA" w14:paraId="5ED3F40A" w14:textId="77777777" w:rsidTr="00F312A4">
        <w:trPr>
          <w:trHeight w:val="316"/>
        </w:trPr>
        <w:tc>
          <w:tcPr>
            <w:tcW w:w="2330" w:type="pct"/>
            <w:noWrap/>
            <w:vAlign w:val="center"/>
            <w:hideMark/>
          </w:tcPr>
          <w:p w14:paraId="1B7DF170" w14:textId="77777777" w:rsidR="00315231" w:rsidRPr="004B3CAA" w:rsidRDefault="00315231" w:rsidP="00364B8A">
            <w:pPr>
              <w:rPr>
                <w:sz w:val="20"/>
                <w:szCs w:val="20"/>
                <w:lang w:eastAsia="en-US"/>
              </w:rPr>
            </w:pPr>
            <w:r w:rsidRPr="004B3CAA">
              <w:rPr>
                <w:sz w:val="20"/>
                <w:szCs w:val="20"/>
                <w:lang w:eastAsia="en-US"/>
              </w:rPr>
              <w:t>Imprese piccole</w:t>
            </w:r>
          </w:p>
        </w:tc>
        <w:tc>
          <w:tcPr>
            <w:tcW w:w="1005" w:type="pct"/>
            <w:noWrap/>
            <w:vAlign w:val="center"/>
            <w:hideMark/>
          </w:tcPr>
          <w:p w14:paraId="49A40C76" w14:textId="77777777" w:rsidR="00315231" w:rsidRPr="004B3CAA" w:rsidRDefault="00315231" w:rsidP="00364B8A">
            <w:pPr>
              <w:jc w:val="center"/>
              <w:rPr>
                <w:sz w:val="20"/>
                <w:szCs w:val="20"/>
                <w:lang w:eastAsia="en-US"/>
              </w:rPr>
            </w:pPr>
            <w:r w:rsidRPr="004B3CAA">
              <w:rPr>
                <w:sz w:val="20"/>
                <w:szCs w:val="20"/>
                <w:lang w:eastAsia="en-US"/>
              </w:rPr>
              <w:t>-3,1</w:t>
            </w:r>
          </w:p>
        </w:tc>
        <w:tc>
          <w:tcPr>
            <w:tcW w:w="1664" w:type="pct"/>
            <w:noWrap/>
            <w:vAlign w:val="center"/>
            <w:hideMark/>
          </w:tcPr>
          <w:p w14:paraId="357EDC3E" w14:textId="77777777" w:rsidR="00315231" w:rsidRPr="004B3CAA" w:rsidRDefault="00315231" w:rsidP="00364B8A">
            <w:pPr>
              <w:jc w:val="center"/>
              <w:rPr>
                <w:sz w:val="20"/>
                <w:szCs w:val="20"/>
                <w:lang w:eastAsia="en-US"/>
              </w:rPr>
            </w:pPr>
            <w:r w:rsidRPr="004B3CAA">
              <w:rPr>
                <w:sz w:val="20"/>
                <w:szCs w:val="20"/>
                <w:lang w:eastAsia="en-US"/>
              </w:rPr>
              <w:t>-4,4</w:t>
            </w:r>
          </w:p>
        </w:tc>
      </w:tr>
      <w:tr w:rsidR="00315231" w:rsidRPr="004B3CAA" w14:paraId="06AD1426" w14:textId="77777777" w:rsidTr="00F312A4">
        <w:trPr>
          <w:trHeight w:val="316"/>
        </w:trPr>
        <w:tc>
          <w:tcPr>
            <w:tcW w:w="2330" w:type="pct"/>
            <w:noWrap/>
            <w:vAlign w:val="center"/>
            <w:hideMark/>
          </w:tcPr>
          <w:p w14:paraId="04460259" w14:textId="77777777" w:rsidR="00315231" w:rsidRPr="004B3CAA" w:rsidRDefault="00315231" w:rsidP="00364B8A">
            <w:pPr>
              <w:rPr>
                <w:sz w:val="20"/>
                <w:szCs w:val="20"/>
                <w:lang w:eastAsia="en-US"/>
              </w:rPr>
            </w:pPr>
            <w:r w:rsidRPr="004B3CAA">
              <w:rPr>
                <w:sz w:val="20"/>
                <w:szCs w:val="20"/>
                <w:lang w:eastAsia="en-US"/>
              </w:rPr>
              <w:t>Imprese medio-grandi</w:t>
            </w:r>
          </w:p>
        </w:tc>
        <w:tc>
          <w:tcPr>
            <w:tcW w:w="1005" w:type="pct"/>
            <w:noWrap/>
            <w:vAlign w:val="center"/>
            <w:hideMark/>
          </w:tcPr>
          <w:p w14:paraId="0CD4B43A" w14:textId="77777777" w:rsidR="00315231" w:rsidRPr="004B3CAA" w:rsidRDefault="00315231" w:rsidP="00364B8A">
            <w:pPr>
              <w:jc w:val="center"/>
              <w:rPr>
                <w:sz w:val="20"/>
                <w:szCs w:val="20"/>
                <w:lang w:eastAsia="en-US"/>
              </w:rPr>
            </w:pPr>
            <w:r w:rsidRPr="004B3CAA">
              <w:rPr>
                <w:sz w:val="20"/>
                <w:szCs w:val="20"/>
                <w:lang w:eastAsia="en-US"/>
              </w:rPr>
              <w:t>0,1</w:t>
            </w:r>
          </w:p>
        </w:tc>
        <w:tc>
          <w:tcPr>
            <w:tcW w:w="1664" w:type="pct"/>
            <w:noWrap/>
            <w:vAlign w:val="center"/>
            <w:hideMark/>
          </w:tcPr>
          <w:p w14:paraId="5712C8C5" w14:textId="77777777" w:rsidR="00315231" w:rsidRPr="004B3CAA" w:rsidRDefault="00315231" w:rsidP="00364B8A">
            <w:pPr>
              <w:jc w:val="center"/>
              <w:rPr>
                <w:sz w:val="20"/>
                <w:szCs w:val="20"/>
                <w:lang w:eastAsia="en-US"/>
              </w:rPr>
            </w:pPr>
            <w:r w:rsidRPr="004B3CAA">
              <w:rPr>
                <w:sz w:val="20"/>
                <w:szCs w:val="20"/>
                <w:lang w:eastAsia="en-US"/>
              </w:rPr>
              <w:t>-0,6</w:t>
            </w:r>
          </w:p>
        </w:tc>
      </w:tr>
      <w:tr w:rsidR="00315231" w:rsidRPr="004B3CAA" w14:paraId="79613755" w14:textId="77777777" w:rsidTr="00F312A4">
        <w:trPr>
          <w:trHeight w:val="316"/>
        </w:trPr>
        <w:tc>
          <w:tcPr>
            <w:tcW w:w="2330" w:type="pct"/>
            <w:noWrap/>
            <w:vAlign w:val="center"/>
            <w:hideMark/>
          </w:tcPr>
          <w:p w14:paraId="38EA9C78" w14:textId="77777777" w:rsidR="00315231" w:rsidRPr="004B3CAA" w:rsidRDefault="00315231" w:rsidP="00364B8A">
            <w:pPr>
              <w:rPr>
                <w:sz w:val="20"/>
                <w:szCs w:val="20"/>
                <w:lang w:eastAsia="en-US"/>
              </w:rPr>
            </w:pPr>
            <w:r w:rsidRPr="004B3CAA">
              <w:rPr>
                <w:sz w:val="20"/>
                <w:szCs w:val="20"/>
                <w:lang w:eastAsia="en-US"/>
              </w:rPr>
              <w:t>Totale prestiti da banche</w:t>
            </w:r>
          </w:p>
        </w:tc>
        <w:tc>
          <w:tcPr>
            <w:tcW w:w="1005" w:type="pct"/>
            <w:noWrap/>
            <w:vAlign w:val="center"/>
            <w:hideMark/>
          </w:tcPr>
          <w:p w14:paraId="1B8176F2" w14:textId="77777777" w:rsidR="00315231" w:rsidRPr="004B3CAA" w:rsidRDefault="00315231" w:rsidP="00364B8A">
            <w:pPr>
              <w:jc w:val="center"/>
              <w:rPr>
                <w:sz w:val="20"/>
                <w:szCs w:val="20"/>
                <w:lang w:eastAsia="en-US"/>
              </w:rPr>
            </w:pPr>
            <w:r w:rsidRPr="004B3CAA">
              <w:rPr>
                <w:sz w:val="20"/>
                <w:szCs w:val="20"/>
                <w:lang w:eastAsia="en-US"/>
              </w:rPr>
              <w:t>-0,5</w:t>
            </w:r>
          </w:p>
        </w:tc>
        <w:tc>
          <w:tcPr>
            <w:tcW w:w="1664" w:type="pct"/>
            <w:noWrap/>
            <w:vAlign w:val="center"/>
            <w:hideMark/>
          </w:tcPr>
          <w:p w14:paraId="50BCE31A" w14:textId="77777777" w:rsidR="00315231" w:rsidRPr="004B3CAA" w:rsidRDefault="00315231" w:rsidP="00364B8A">
            <w:pPr>
              <w:jc w:val="center"/>
              <w:rPr>
                <w:sz w:val="20"/>
                <w:szCs w:val="20"/>
                <w:lang w:eastAsia="en-US"/>
              </w:rPr>
            </w:pPr>
            <w:r w:rsidRPr="004B3CAA">
              <w:rPr>
                <w:sz w:val="20"/>
                <w:szCs w:val="20"/>
                <w:lang w:eastAsia="en-US"/>
              </w:rPr>
              <w:t>-1,3</w:t>
            </w:r>
          </w:p>
        </w:tc>
      </w:tr>
      <w:tr w:rsidR="00315231" w:rsidRPr="004B3CAA" w14:paraId="77F4C675" w14:textId="77777777" w:rsidTr="00F312A4">
        <w:trPr>
          <w:trHeight w:val="316"/>
        </w:trPr>
        <w:tc>
          <w:tcPr>
            <w:tcW w:w="2330" w:type="pct"/>
            <w:noWrap/>
            <w:vAlign w:val="center"/>
            <w:hideMark/>
          </w:tcPr>
          <w:p w14:paraId="21949E62" w14:textId="77777777" w:rsidR="00315231" w:rsidRPr="004B3CAA" w:rsidRDefault="00315231" w:rsidP="00364B8A">
            <w:pPr>
              <w:rPr>
                <w:sz w:val="20"/>
                <w:szCs w:val="20"/>
                <w:lang w:eastAsia="en-US"/>
              </w:rPr>
            </w:pPr>
            <w:r w:rsidRPr="004B3CAA">
              <w:rPr>
                <w:sz w:val="20"/>
                <w:szCs w:val="20"/>
                <w:lang w:eastAsia="en-US"/>
              </w:rPr>
              <w:t>Totale prestiti da società finanziarie</w:t>
            </w:r>
          </w:p>
        </w:tc>
        <w:tc>
          <w:tcPr>
            <w:tcW w:w="1005" w:type="pct"/>
            <w:noWrap/>
            <w:vAlign w:val="center"/>
            <w:hideMark/>
          </w:tcPr>
          <w:p w14:paraId="5D8CDBA8" w14:textId="77777777" w:rsidR="00315231" w:rsidRPr="004B3CAA" w:rsidRDefault="00315231" w:rsidP="00364B8A">
            <w:pPr>
              <w:jc w:val="center"/>
              <w:rPr>
                <w:sz w:val="20"/>
                <w:szCs w:val="20"/>
                <w:lang w:eastAsia="en-US"/>
              </w:rPr>
            </w:pPr>
            <w:r w:rsidRPr="004B3CAA">
              <w:rPr>
                <w:sz w:val="20"/>
                <w:szCs w:val="20"/>
                <w:lang w:eastAsia="en-US"/>
              </w:rPr>
              <w:t>5,1</w:t>
            </w:r>
          </w:p>
        </w:tc>
        <w:tc>
          <w:tcPr>
            <w:tcW w:w="1664" w:type="pct"/>
            <w:noWrap/>
            <w:vAlign w:val="center"/>
            <w:hideMark/>
          </w:tcPr>
          <w:p w14:paraId="7FD3B5DC" w14:textId="77777777" w:rsidR="00315231" w:rsidRPr="004B3CAA" w:rsidRDefault="00315231" w:rsidP="00364B8A">
            <w:pPr>
              <w:jc w:val="center"/>
              <w:rPr>
                <w:sz w:val="20"/>
                <w:szCs w:val="20"/>
                <w:lang w:eastAsia="en-US"/>
              </w:rPr>
            </w:pPr>
            <w:r w:rsidRPr="004B3CAA">
              <w:rPr>
                <w:sz w:val="20"/>
                <w:szCs w:val="20"/>
                <w:lang w:eastAsia="en-US"/>
              </w:rPr>
              <w:t>1,0</w:t>
            </w:r>
          </w:p>
        </w:tc>
      </w:tr>
      <w:tr w:rsidR="00315231" w:rsidRPr="004B3CAA" w14:paraId="4703CB99" w14:textId="77777777" w:rsidTr="00F312A4">
        <w:trPr>
          <w:trHeight w:val="316"/>
        </w:trPr>
        <w:tc>
          <w:tcPr>
            <w:tcW w:w="2330" w:type="pct"/>
            <w:tcBorders>
              <w:top w:val="nil"/>
              <w:left w:val="nil"/>
              <w:bottom w:val="single" w:sz="4" w:space="0" w:color="auto"/>
              <w:right w:val="nil"/>
            </w:tcBorders>
            <w:noWrap/>
            <w:vAlign w:val="center"/>
            <w:hideMark/>
          </w:tcPr>
          <w:p w14:paraId="046E7B5B" w14:textId="77777777" w:rsidR="00315231" w:rsidRPr="004B3CAA" w:rsidRDefault="00315231" w:rsidP="00364B8A">
            <w:pPr>
              <w:rPr>
                <w:sz w:val="20"/>
                <w:szCs w:val="20"/>
                <w:lang w:eastAsia="en-US"/>
              </w:rPr>
            </w:pPr>
            <w:r w:rsidRPr="004B3CAA">
              <w:rPr>
                <w:sz w:val="20"/>
                <w:szCs w:val="20"/>
                <w:lang w:eastAsia="en-US"/>
              </w:rPr>
              <w:t>Totale prestiti da banche e società finanziarie</w:t>
            </w:r>
          </w:p>
        </w:tc>
        <w:tc>
          <w:tcPr>
            <w:tcW w:w="1005" w:type="pct"/>
            <w:tcBorders>
              <w:top w:val="nil"/>
              <w:left w:val="nil"/>
              <w:bottom w:val="single" w:sz="4" w:space="0" w:color="auto"/>
              <w:right w:val="nil"/>
            </w:tcBorders>
            <w:noWrap/>
            <w:vAlign w:val="center"/>
            <w:hideMark/>
          </w:tcPr>
          <w:p w14:paraId="1D7F077C" w14:textId="77777777" w:rsidR="00315231" w:rsidRPr="004B3CAA" w:rsidRDefault="00315231" w:rsidP="00364B8A">
            <w:pPr>
              <w:jc w:val="center"/>
              <w:rPr>
                <w:sz w:val="20"/>
                <w:szCs w:val="20"/>
                <w:lang w:eastAsia="en-US"/>
              </w:rPr>
            </w:pPr>
            <w:r w:rsidRPr="004B3CAA">
              <w:rPr>
                <w:sz w:val="20"/>
                <w:szCs w:val="20"/>
                <w:lang w:eastAsia="en-US"/>
              </w:rPr>
              <w:t>-0,1</w:t>
            </w:r>
          </w:p>
        </w:tc>
        <w:tc>
          <w:tcPr>
            <w:tcW w:w="1664" w:type="pct"/>
            <w:tcBorders>
              <w:top w:val="nil"/>
              <w:left w:val="nil"/>
              <w:bottom w:val="single" w:sz="4" w:space="0" w:color="auto"/>
              <w:right w:val="nil"/>
            </w:tcBorders>
            <w:noWrap/>
            <w:vAlign w:val="center"/>
            <w:hideMark/>
          </w:tcPr>
          <w:p w14:paraId="2D4EE715" w14:textId="77777777" w:rsidR="00315231" w:rsidRPr="004B3CAA" w:rsidRDefault="00315231" w:rsidP="00364B8A">
            <w:pPr>
              <w:jc w:val="center"/>
              <w:rPr>
                <w:sz w:val="20"/>
                <w:szCs w:val="20"/>
                <w:lang w:eastAsia="en-US"/>
              </w:rPr>
            </w:pPr>
            <w:r w:rsidRPr="004B3CAA">
              <w:rPr>
                <w:sz w:val="20"/>
                <w:szCs w:val="20"/>
                <w:lang w:eastAsia="en-US"/>
              </w:rPr>
              <w:t>-1,1</w:t>
            </w:r>
          </w:p>
        </w:tc>
      </w:tr>
    </w:tbl>
    <w:p w14:paraId="77A6848B" w14:textId="77777777" w:rsidR="00315231" w:rsidRPr="00765EDE" w:rsidRDefault="00315231" w:rsidP="00315231">
      <w:pPr>
        <w:spacing w:before="120"/>
        <w:jc w:val="both"/>
      </w:pPr>
      <w:r w:rsidRPr="00765EDE">
        <w:t xml:space="preserve">Sul piano dimensionale si osserva anche una differente applicazione dei tassi di interesse rispetto a diverse tipologie di impresa. Fra le imprese rischiose, nel 2022, la differenza fra i tassi applicati a una microimpresa e quelli applicati a una grande impresa supera i due punti e mezzo percentuali (6,5% per le prime, 3,9% per le seconde); mentre fra le imprese “sane”, lo </w:t>
      </w:r>
      <w:r w:rsidRPr="00765EDE">
        <w:rPr>
          <w:i/>
          <w:iCs/>
        </w:rPr>
        <w:t>spread</w:t>
      </w:r>
      <w:r w:rsidRPr="00765EDE">
        <w:t xml:space="preserve"> a scapito delle più piccole risulta pari a 3,7 punti (</w:t>
      </w:r>
      <w:r w:rsidRPr="00AD633A">
        <w:rPr>
          <w:b/>
          <w:bCs/>
          <w:sz w:val="20"/>
          <w:szCs w:val="20"/>
        </w:rPr>
        <w:t xml:space="preserve">Tab. </w:t>
      </w:r>
      <w:r>
        <w:rPr>
          <w:b/>
          <w:bCs/>
          <w:sz w:val="20"/>
          <w:szCs w:val="20"/>
        </w:rPr>
        <w:t>5</w:t>
      </w:r>
      <w:r w:rsidRPr="00765EDE">
        <w:t xml:space="preserve">). </w:t>
      </w:r>
    </w:p>
    <w:p w14:paraId="4A37D224" w14:textId="77777777" w:rsidR="00315231" w:rsidRPr="00AD633A" w:rsidRDefault="00315231" w:rsidP="00315231">
      <w:pPr>
        <w:spacing w:before="120"/>
        <w:jc w:val="both"/>
        <w:rPr>
          <w:sz w:val="20"/>
          <w:szCs w:val="20"/>
        </w:rPr>
      </w:pPr>
      <w:r w:rsidRPr="00AD633A">
        <w:rPr>
          <w:b/>
          <w:bCs/>
          <w:sz w:val="20"/>
          <w:szCs w:val="20"/>
        </w:rPr>
        <w:t xml:space="preserve">Tab. </w:t>
      </w:r>
      <w:r>
        <w:rPr>
          <w:b/>
          <w:bCs/>
          <w:sz w:val="20"/>
          <w:szCs w:val="20"/>
        </w:rPr>
        <w:t>5</w:t>
      </w:r>
      <w:r w:rsidRPr="00AD633A">
        <w:rPr>
          <w:b/>
          <w:bCs/>
          <w:sz w:val="20"/>
          <w:szCs w:val="20"/>
        </w:rPr>
        <w:t xml:space="preserve"> – I differenziali dei tassi d’interesse a breve termine applicati sui prestiti alle imprese per tipologia di rischio attribuita all’impresa. 2020-2022</w:t>
      </w:r>
      <w:r w:rsidRPr="00AD633A">
        <w:rPr>
          <w:sz w:val="20"/>
          <w:szCs w:val="20"/>
        </w:rPr>
        <w:t xml:space="preserve"> </w:t>
      </w:r>
      <w:r w:rsidRPr="00AD633A">
        <w:rPr>
          <w:i/>
          <w:iCs/>
          <w:sz w:val="20"/>
          <w:szCs w:val="20"/>
        </w:rPr>
        <w:t>(val. %)</w:t>
      </w:r>
      <w:r>
        <w:rPr>
          <w:i/>
          <w:iCs/>
          <w:sz w:val="20"/>
          <w:szCs w:val="20"/>
        </w:rPr>
        <w:t xml:space="preserve"> </w:t>
      </w:r>
      <w:r w:rsidRPr="00AD633A">
        <w:rPr>
          <w:b/>
          <w:bCs/>
          <w:i/>
          <w:iCs/>
          <w:sz w:val="20"/>
          <w:szCs w:val="20"/>
        </w:rPr>
        <w:t>Fonte: Banca d’Italia</w:t>
      </w:r>
      <w:r>
        <w:rPr>
          <w:sz w:val="20"/>
          <w:szCs w:val="20"/>
        </w:rPr>
        <w:t xml:space="preserve"> </w:t>
      </w:r>
    </w:p>
    <w:tbl>
      <w:tblPr>
        <w:tblStyle w:val="Grigliatabella"/>
        <w:tblW w:w="498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617"/>
        <w:gridCol w:w="1326"/>
        <w:gridCol w:w="1301"/>
        <w:gridCol w:w="6"/>
        <w:gridCol w:w="1302"/>
        <w:gridCol w:w="1327"/>
        <w:gridCol w:w="1305"/>
        <w:gridCol w:w="8"/>
      </w:tblGrid>
      <w:tr w:rsidR="00315231" w:rsidRPr="00AD633A" w14:paraId="27F57E88" w14:textId="77777777" w:rsidTr="00F312A4">
        <w:trPr>
          <w:gridAfter w:val="1"/>
          <w:wAfter w:w="4" w:type="pct"/>
          <w:trHeight w:val="325"/>
        </w:trPr>
        <w:tc>
          <w:tcPr>
            <w:tcW w:w="1260" w:type="pct"/>
            <w:tcBorders>
              <w:top w:val="single" w:sz="4" w:space="0" w:color="auto"/>
              <w:left w:val="nil"/>
              <w:bottom w:val="single" w:sz="4" w:space="0" w:color="auto"/>
              <w:right w:val="nil"/>
            </w:tcBorders>
            <w:noWrap/>
            <w:vAlign w:val="center"/>
            <w:hideMark/>
          </w:tcPr>
          <w:p w14:paraId="5A857C7A" w14:textId="77777777" w:rsidR="00315231" w:rsidRPr="00AD633A" w:rsidRDefault="00315231" w:rsidP="00364B8A">
            <w:pPr>
              <w:rPr>
                <w:sz w:val="20"/>
                <w:szCs w:val="20"/>
              </w:rPr>
            </w:pPr>
          </w:p>
        </w:tc>
        <w:tc>
          <w:tcPr>
            <w:tcW w:w="1686" w:type="pct"/>
            <w:gridSpan w:val="3"/>
            <w:tcBorders>
              <w:top w:val="single" w:sz="4" w:space="0" w:color="auto"/>
              <w:left w:val="nil"/>
              <w:bottom w:val="single" w:sz="4" w:space="0" w:color="auto"/>
              <w:right w:val="nil"/>
            </w:tcBorders>
            <w:noWrap/>
            <w:vAlign w:val="center"/>
            <w:hideMark/>
          </w:tcPr>
          <w:p w14:paraId="4E054683" w14:textId="77777777" w:rsidR="00315231" w:rsidRPr="00AD633A" w:rsidRDefault="00315231" w:rsidP="00364B8A">
            <w:pPr>
              <w:jc w:val="center"/>
              <w:rPr>
                <w:sz w:val="20"/>
                <w:szCs w:val="20"/>
                <w:lang w:eastAsia="en-US"/>
              </w:rPr>
            </w:pPr>
            <w:r w:rsidRPr="00AD633A">
              <w:rPr>
                <w:sz w:val="20"/>
                <w:szCs w:val="20"/>
                <w:lang w:eastAsia="en-US"/>
              </w:rPr>
              <w:t>imprese rischiose</w:t>
            </w:r>
          </w:p>
        </w:tc>
        <w:tc>
          <w:tcPr>
            <w:tcW w:w="2049" w:type="pct"/>
            <w:gridSpan w:val="4"/>
            <w:tcBorders>
              <w:top w:val="single" w:sz="4" w:space="0" w:color="auto"/>
              <w:left w:val="nil"/>
              <w:bottom w:val="single" w:sz="4" w:space="0" w:color="auto"/>
              <w:right w:val="nil"/>
            </w:tcBorders>
            <w:noWrap/>
            <w:vAlign w:val="center"/>
            <w:hideMark/>
          </w:tcPr>
          <w:p w14:paraId="3B6EE289" w14:textId="77777777" w:rsidR="00315231" w:rsidRPr="00AD633A" w:rsidRDefault="00315231" w:rsidP="00364B8A">
            <w:pPr>
              <w:jc w:val="center"/>
              <w:rPr>
                <w:sz w:val="20"/>
                <w:szCs w:val="20"/>
                <w:lang w:eastAsia="en-US"/>
              </w:rPr>
            </w:pPr>
            <w:r w:rsidRPr="00AD633A">
              <w:rPr>
                <w:sz w:val="20"/>
                <w:szCs w:val="20"/>
                <w:lang w:eastAsia="en-US"/>
              </w:rPr>
              <w:t>imprese sane</w:t>
            </w:r>
          </w:p>
        </w:tc>
      </w:tr>
      <w:tr w:rsidR="00315231" w:rsidRPr="00AD633A" w14:paraId="431C23A6" w14:textId="77777777" w:rsidTr="00F312A4">
        <w:trPr>
          <w:trHeight w:val="325"/>
        </w:trPr>
        <w:tc>
          <w:tcPr>
            <w:tcW w:w="1260" w:type="pct"/>
            <w:tcBorders>
              <w:top w:val="single" w:sz="4" w:space="0" w:color="auto"/>
              <w:left w:val="nil"/>
              <w:bottom w:val="nil"/>
              <w:right w:val="nil"/>
            </w:tcBorders>
            <w:noWrap/>
            <w:vAlign w:val="center"/>
            <w:hideMark/>
          </w:tcPr>
          <w:p w14:paraId="1003FC4E" w14:textId="77777777" w:rsidR="00315231" w:rsidRPr="00AD633A" w:rsidRDefault="00315231" w:rsidP="00364B8A">
            <w:pPr>
              <w:rPr>
                <w:sz w:val="20"/>
                <w:szCs w:val="20"/>
                <w:lang w:eastAsia="en-US"/>
              </w:rPr>
            </w:pPr>
            <w:r w:rsidRPr="00AD633A">
              <w:rPr>
                <w:sz w:val="20"/>
                <w:szCs w:val="20"/>
                <w:lang w:eastAsia="en-US"/>
              </w:rPr>
              <w:t>Imprese</w:t>
            </w:r>
          </w:p>
        </w:tc>
        <w:tc>
          <w:tcPr>
            <w:tcW w:w="319" w:type="pct"/>
            <w:tcBorders>
              <w:top w:val="single" w:sz="4" w:space="0" w:color="auto"/>
              <w:left w:val="nil"/>
              <w:bottom w:val="nil"/>
              <w:right w:val="nil"/>
            </w:tcBorders>
            <w:noWrap/>
            <w:vAlign w:val="center"/>
            <w:hideMark/>
          </w:tcPr>
          <w:p w14:paraId="03F2E819" w14:textId="77777777" w:rsidR="00315231" w:rsidRPr="00AD633A" w:rsidRDefault="00315231" w:rsidP="00364B8A">
            <w:pPr>
              <w:jc w:val="center"/>
              <w:rPr>
                <w:sz w:val="20"/>
                <w:szCs w:val="20"/>
                <w:lang w:eastAsia="en-US"/>
              </w:rPr>
            </w:pPr>
            <w:r w:rsidRPr="00AD633A">
              <w:rPr>
                <w:sz w:val="20"/>
                <w:szCs w:val="20"/>
                <w:lang w:eastAsia="en-US"/>
              </w:rPr>
              <w:t>2020</w:t>
            </w:r>
          </w:p>
        </w:tc>
        <w:tc>
          <w:tcPr>
            <w:tcW w:w="690" w:type="pct"/>
            <w:tcBorders>
              <w:top w:val="single" w:sz="4" w:space="0" w:color="auto"/>
              <w:left w:val="nil"/>
              <w:bottom w:val="nil"/>
              <w:right w:val="nil"/>
            </w:tcBorders>
            <w:noWrap/>
            <w:vAlign w:val="center"/>
            <w:hideMark/>
          </w:tcPr>
          <w:p w14:paraId="18BEBD8F" w14:textId="77777777" w:rsidR="00315231" w:rsidRPr="00AD633A" w:rsidRDefault="00315231" w:rsidP="00364B8A">
            <w:pPr>
              <w:jc w:val="center"/>
              <w:rPr>
                <w:sz w:val="20"/>
                <w:szCs w:val="20"/>
                <w:lang w:eastAsia="en-US"/>
              </w:rPr>
            </w:pPr>
            <w:r w:rsidRPr="00AD633A">
              <w:rPr>
                <w:sz w:val="20"/>
                <w:szCs w:val="20"/>
                <w:lang w:eastAsia="en-US"/>
              </w:rPr>
              <w:t>2021</w:t>
            </w:r>
          </w:p>
        </w:tc>
        <w:tc>
          <w:tcPr>
            <w:tcW w:w="680" w:type="pct"/>
            <w:gridSpan w:val="2"/>
            <w:tcBorders>
              <w:top w:val="single" w:sz="4" w:space="0" w:color="auto"/>
              <w:left w:val="nil"/>
              <w:bottom w:val="nil"/>
              <w:right w:val="nil"/>
            </w:tcBorders>
            <w:noWrap/>
            <w:vAlign w:val="center"/>
            <w:hideMark/>
          </w:tcPr>
          <w:p w14:paraId="687ACC72" w14:textId="77777777" w:rsidR="00315231" w:rsidRPr="00AD633A" w:rsidRDefault="00315231" w:rsidP="00364B8A">
            <w:pPr>
              <w:jc w:val="center"/>
              <w:rPr>
                <w:sz w:val="20"/>
                <w:szCs w:val="20"/>
                <w:lang w:eastAsia="en-US"/>
              </w:rPr>
            </w:pPr>
            <w:r w:rsidRPr="00AD633A">
              <w:rPr>
                <w:sz w:val="20"/>
                <w:szCs w:val="20"/>
                <w:lang w:eastAsia="en-US"/>
              </w:rPr>
              <w:t>2022</w:t>
            </w:r>
          </w:p>
        </w:tc>
        <w:tc>
          <w:tcPr>
            <w:tcW w:w="677" w:type="pct"/>
            <w:tcBorders>
              <w:top w:val="single" w:sz="4" w:space="0" w:color="auto"/>
              <w:left w:val="nil"/>
              <w:bottom w:val="nil"/>
              <w:right w:val="nil"/>
            </w:tcBorders>
            <w:noWrap/>
            <w:vAlign w:val="center"/>
            <w:hideMark/>
          </w:tcPr>
          <w:p w14:paraId="4A0225C7" w14:textId="77777777" w:rsidR="00315231" w:rsidRPr="00AD633A" w:rsidRDefault="00315231" w:rsidP="00364B8A">
            <w:pPr>
              <w:jc w:val="center"/>
              <w:rPr>
                <w:sz w:val="20"/>
                <w:szCs w:val="20"/>
                <w:lang w:eastAsia="en-US"/>
              </w:rPr>
            </w:pPr>
            <w:r w:rsidRPr="00AD633A">
              <w:rPr>
                <w:sz w:val="20"/>
                <w:szCs w:val="20"/>
                <w:lang w:eastAsia="en-US"/>
              </w:rPr>
              <w:t>2020</w:t>
            </w:r>
          </w:p>
        </w:tc>
        <w:tc>
          <w:tcPr>
            <w:tcW w:w="690" w:type="pct"/>
            <w:tcBorders>
              <w:top w:val="single" w:sz="4" w:space="0" w:color="auto"/>
              <w:left w:val="nil"/>
              <w:bottom w:val="nil"/>
              <w:right w:val="nil"/>
            </w:tcBorders>
            <w:noWrap/>
            <w:vAlign w:val="center"/>
            <w:hideMark/>
          </w:tcPr>
          <w:p w14:paraId="4F702081" w14:textId="77777777" w:rsidR="00315231" w:rsidRPr="00AD633A" w:rsidRDefault="00315231" w:rsidP="00364B8A">
            <w:pPr>
              <w:jc w:val="center"/>
              <w:rPr>
                <w:sz w:val="20"/>
                <w:szCs w:val="20"/>
                <w:lang w:eastAsia="en-US"/>
              </w:rPr>
            </w:pPr>
            <w:r w:rsidRPr="00AD633A">
              <w:rPr>
                <w:sz w:val="20"/>
                <w:szCs w:val="20"/>
                <w:lang w:eastAsia="en-US"/>
              </w:rPr>
              <w:t>2021</w:t>
            </w:r>
          </w:p>
        </w:tc>
        <w:tc>
          <w:tcPr>
            <w:tcW w:w="682" w:type="pct"/>
            <w:gridSpan w:val="2"/>
            <w:tcBorders>
              <w:top w:val="single" w:sz="4" w:space="0" w:color="auto"/>
              <w:left w:val="nil"/>
              <w:bottom w:val="nil"/>
              <w:right w:val="nil"/>
            </w:tcBorders>
            <w:noWrap/>
            <w:vAlign w:val="center"/>
            <w:hideMark/>
          </w:tcPr>
          <w:p w14:paraId="1B9BCD35" w14:textId="77777777" w:rsidR="00315231" w:rsidRPr="00AD633A" w:rsidRDefault="00315231" w:rsidP="00364B8A">
            <w:pPr>
              <w:jc w:val="center"/>
              <w:rPr>
                <w:sz w:val="20"/>
                <w:szCs w:val="20"/>
                <w:lang w:eastAsia="en-US"/>
              </w:rPr>
            </w:pPr>
            <w:r w:rsidRPr="00AD633A">
              <w:rPr>
                <w:sz w:val="20"/>
                <w:szCs w:val="20"/>
                <w:lang w:eastAsia="en-US"/>
              </w:rPr>
              <w:t>2022</w:t>
            </w:r>
          </w:p>
        </w:tc>
      </w:tr>
      <w:tr w:rsidR="00315231" w:rsidRPr="00AD633A" w14:paraId="5B7D290F" w14:textId="77777777" w:rsidTr="00F312A4">
        <w:trPr>
          <w:trHeight w:val="325"/>
        </w:trPr>
        <w:tc>
          <w:tcPr>
            <w:tcW w:w="1260" w:type="pct"/>
            <w:noWrap/>
            <w:vAlign w:val="center"/>
            <w:hideMark/>
          </w:tcPr>
          <w:p w14:paraId="29907664" w14:textId="77777777" w:rsidR="00315231" w:rsidRPr="00AD633A" w:rsidRDefault="00315231" w:rsidP="00364B8A">
            <w:pPr>
              <w:rPr>
                <w:sz w:val="20"/>
                <w:szCs w:val="20"/>
                <w:lang w:eastAsia="en-US"/>
              </w:rPr>
            </w:pPr>
            <w:r w:rsidRPr="00AD633A">
              <w:rPr>
                <w:sz w:val="20"/>
                <w:szCs w:val="20"/>
                <w:lang w:eastAsia="en-US"/>
              </w:rPr>
              <w:t>Micro</w:t>
            </w:r>
          </w:p>
        </w:tc>
        <w:tc>
          <w:tcPr>
            <w:tcW w:w="319" w:type="pct"/>
            <w:noWrap/>
            <w:vAlign w:val="center"/>
            <w:hideMark/>
          </w:tcPr>
          <w:p w14:paraId="261AA110" w14:textId="77777777" w:rsidR="00315231" w:rsidRPr="00AD633A" w:rsidRDefault="00315231" w:rsidP="00364B8A">
            <w:pPr>
              <w:jc w:val="center"/>
              <w:rPr>
                <w:sz w:val="20"/>
                <w:szCs w:val="20"/>
                <w:lang w:eastAsia="en-US"/>
              </w:rPr>
            </w:pPr>
            <w:r w:rsidRPr="00AD633A">
              <w:rPr>
                <w:sz w:val="20"/>
                <w:szCs w:val="20"/>
                <w:lang w:eastAsia="en-US"/>
              </w:rPr>
              <w:t>6,4</w:t>
            </w:r>
          </w:p>
        </w:tc>
        <w:tc>
          <w:tcPr>
            <w:tcW w:w="690" w:type="pct"/>
            <w:noWrap/>
            <w:vAlign w:val="center"/>
            <w:hideMark/>
          </w:tcPr>
          <w:p w14:paraId="66A1A845" w14:textId="77777777" w:rsidR="00315231" w:rsidRPr="00AD633A" w:rsidRDefault="00315231" w:rsidP="00364B8A">
            <w:pPr>
              <w:jc w:val="center"/>
              <w:rPr>
                <w:sz w:val="20"/>
                <w:szCs w:val="20"/>
                <w:lang w:eastAsia="en-US"/>
              </w:rPr>
            </w:pPr>
            <w:r w:rsidRPr="00AD633A">
              <w:rPr>
                <w:sz w:val="20"/>
                <w:szCs w:val="20"/>
                <w:lang w:eastAsia="en-US"/>
              </w:rPr>
              <w:t>5,7</w:t>
            </w:r>
          </w:p>
        </w:tc>
        <w:tc>
          <w:tcPr>
            <w:tcW w:w="680" w:type="pct"/>
            <w:gridSpan w:val="2"/>
            <w:noWrap/>
            <w:vAlign w:val="center"/>
            <w:hideMark/>
          </w:tcPr>
          <w:p w14:paraId="62C14784" w14:textId="77777777" w:rsidR="00315231" w:rsidRPr="00AD633A" w:rsidRDefault="00315231" w:rsidP="00364B8A">
            <w:pPr>
              <w:jc w:val="center"/>
              <w:rPr>
                <w:sz w:val="20"/>
                <w:szCs w:val="20"/>
                <w:lang w:eastAsia="en-US"/>
              </w:rPr>
            </w:pPr>
            <w:r w:rsidRPr="00AD633A">
              <w:rPr>
                <w:sz w:val="20"/>
                <w:szCs w:val="20"/>
                <w:lang w:eastAsia="en-US"/>
              </w:rPr>
              <w:t>6,5</w:t>
            </w:r>
          </w:p>
        </w:tc>
        <w:tc>
          <w:tcPr>
            <w:tcW w:w="677" w:type="pct"/>
            <w:noWrap/>
            <w:vAlign w:val="center"/>
            <w:hideMark/>
          </w:tcPr>
          <w:p w14:paraId="2BE174BC" w14:textId="77777777" w:rsidR="00315231" w:rsidRPr="00AD633A" w:rsidRDefault="00315231" w:rsidP="00364B8A">
            <w:pPr>
              <w:jc w:val="center"/>
              <w:rPr>
                <w:sz w:val="20"/>
                <w:szCs w:val="20"/>
                <w:lang w:eastAsia="en-US"/>
              </w:rPr>
            </w:pPr>
            <w:r w:rsidRPr="00AD633A">
              <w:rPr>
                <w:sz w:val="20"/>
                <w:szCs w:val="20"/>
                <w:lang w:eastAsia="en-US"/>
              </w:rPr>
              <w:t>4,6</w:t>
            </w:r>
          </w:p>
        </w:tc>
        <w:tc>
          <w:tcPr>
            <w:tcW w:w="690" w:type="pct"/>
            <w:noWrap/>
            <w:vAlign w:val="center"/>
            <w:hideMark/>
          </w:tcPr>
          <w:p w14:paraId="03482BB7" w14:textId="77777777" w:rsidR="00315231" w:rsidRPr="00AD633A" w:rsidRDefault="00315231" w:rsidP="00364B8A">
            <w:pPr>
              <w:jc w:val="center"/>
              <w:rPr>
                <w:sz w:val="20"/>
                <w:szCs w:val="20"/>
                <w:lang w:eastAsia="en-US"/>
              </w:rPr>
            </w:pPr>
            <w:r w:rsidRPr="00AD633A">
              <w:rPr>
                <w:sz w:val="20"/>
                <w:szCs w:val="20"/>
                <w:lang w:eastAsia="en-US"/>
              </w:rPr>
              <w:t>5,1</w:t>
            </w:r>
          </w:p>
        </w:tc>
        <w:tc>
          <w:tcPr>
            <w:tcW w:w="682" w:type="pct"/>
            <w:gridSpan w:val="2"/>
            <w:noWrap/>
            <w:vAlign w:val="center"/>
            <w:hideMark/>
          </w:tcPr>
          <w:p w14:paraId="02C1AFAD" w14:textId="77777777" w:rsidR="00315231" w:rsidRPr="00AD633A" w:rsidRDefault="00315231" w:rsidP="00364B8A">
            <w:pPr>
              <w:jc w:val="center"/>
              <w:rPr>
                <w:sz w:val="20"/>
                <w:szCs w:val="20"/>
                <w:lang w:eastAsia="en-US"/>
              </w:rPr>
            </w:pPr>
            <w:r w:rsidRPr="00AD633A">
              <w:rPr>
                <w:sz w:val="20"/>
                <w:szCs w:val="20"/>
                <w:lang w:eastAsia="en-US"/>
              </w:rPr>
              <w:t>6,1</w:t>
            </w:r>
          </w:p>
        </w:tc>
      </w:tr>
      <w:tr w:rsidR="00315231" w:rsidRPr="00AD633A" w14:paraId="7CEE46AC" w14:textId="77777777" w:rsidTr="00F312A4">
        <w:trPr>
          <w:trHeight w:val="325"/>
        </w:trPr>
        <w:tc>
          <w:tcPr>
            <w:tcW w:w="1260" w:type="pct"/>
            <w:noWrap/>
            <w:vAlign w:val="center"/>
            <w:hideMark/>
          </w:tcPr>
          <w:p w14:paraId="6B9D118A" w14:textId="77777777" w:rsidR="00315231" w:rsidRPr="00AD633A" w:rsidRDefault="00315231" w:rsidP="00364B8A">
            <w:pPr>
              <w:rPr>
                <w:sz w:val="20"/>
                <w:szCs w:val="20"/>
                <w:lang w:eastAsia="en-US"/>
              </w:rPr>
            </w:pPr>
            <w:r w:rsidRPr="00AD633A">
              <w:rPr>
                <w:sz w:val="20"/>
                <w:szCs w:val="20"/>
                <w:lang w:eastAsia="en-US"/>
              </w:rPr>
              <w:t>Piccole</w:t>
            </w:r>
          </w:p>
        </w:tc>
        <w:tc>
          <w:tcPr>
            <w:tcW w:w="319" w:type="pct"/>
            <w:noWrap/>
            <w:vAlign w:val="center"/>
            <w:hideMark/>
          </w:tcPr>
          <w:p w14:paraId="03B6BF51" w14:textId="77777777" w:rsidR="00315231" w:rsidRPr="00AD633A" w:rsidRDefault="00315231" w:rsidP="00364B8A">
            <w:pPr>
              <w:jc w:val="center"/>
              <w:rPr>
                <w:sz w:val="20"/>
                <w:szCs w:val="20"/>
                <w:lang w:eastAsia="en-US"/>
              </w:rPr>
            </w:pPr>
            <w:r w:rsidRPr="00AD633A">
              <w:rPr>
                <w:sz w:val="20"/>
                <w:szCs w:val="20"/>
                <w:lang w:eastAsia="en-US"/>
              </w:rPr>
              <w:t>5,4</w:t>
            </w:r>
          </w:p>
        </w:tc>
        <w:tc>
          <w:tcPr>
            <w:tcW w:w="690" w:type="pct"/>
            <w:noWrap/>
            <w:vAlign w:val="center"/>
            <w:hideMark/>
          </w:tcPr>
          <w:p w14:paraId="14D6345C" w14:textId="77777777" w:rsidR="00315231" w:rsidRPr="00AD633A" w:rsidRDefault="00315231" w:rsidP="00364B8A">
            <w:pPr>
              <w:jc w:val="center"/>
              <w:rPr>
                <w:sz w:val="20"/>
                <w:szCs w:val="20"/>
                <w:lang w:eastAsia="en-US"/>
              </w:rPr>
            </w:pPr>
            <w:r w:rsidRPr="00AD633A">
              <w:rPr>
                <w:sz w:val="20"/>
                <w:szCs w:val="20"/>
                <w:lang w:eastAsia="en-US"/>
              </w:rPr>
              <w:t>5,0</w:t>
            </w:r>
          </w:p>
        </w:tc>
        <w:tc>
          <w:tcPr>
            <w:tcW w:w="680" w:type="pct"/>
            <w:gridSpan w:val="2"/>
            <w:noWrap/>
            <w:vAlign w:val="center"/>
            <w:hideMark/>
          </w:tcPr>
          <w:p w14:paraId="78A36E28" w14:textId="77777777" w:rsidR="00315231" w:rsidRPr="00AD633A" w:rsidRDefault="00315231" w:rsidP="00364B8A">
            <w:pPr>
              <w:jc w:val="center"/>
              <w:rPr>
                <w:sz w:val="20"/>
                <w:szCs w:val="20"/>
                <w:lang w:eastAsia="en-US"/>
              </w:rPr>
            </w:pPr>
            <w:r w:rsidRPr="00AD633A">
              <w:rPr>
                <w:sz w:val="20"/>
                <w:szCs w:val="20"/>
                <w:lang w:eastAsia="en-US"/>
              </w:rPr>
              <w:t>6,0</w:t>
            </w:r>
          </w:p>
        </w:tc>
        <w:tc>
          <w:tcPr>
            <w:tcW w:w="677" w:type="pct"/>
            <w:noWrap/>
            <w:vAlign w:val="center"/>
            <w:hideMark/>
          </w:tcPr>
          <w:p w14:paraId="30C5F256" w14:textId="77777777" w:rsidR="00315231" w:rsidRPr="00AD633A" w:rsidRDefault="00315231" w:rsidP="00364B8A">
            <w:pPr>
              <w:jc w:val="center"/>
              <w:rPr>
                <w:sz w:val="20"/>
                <w:szCs w:val="20"/>
                <w:lang w:eastAsia="en-US"/>
              </w:rPr>
            </w:pPr>
            <w:r w:rsidRPr="00AD633A">
              <w:rPr>
                <w:sz w:val="20"/>
                <w:szCs w:val="20"/>
                <w:lang w:eastAsia="en-US"/>
              </w:rPr>
              <w:t>3,3</w:t>
            </w:r>
          </w:p>
        </w:tc>
        <w:tc>
          <w:tcPr>
            <w:tcW w:w="690" w:type="pct"/>
            <w:noWrap/>
            <w:vAlign w:val="center"/>
            <w:hideMark/>
          </w:tcPr>
          <w:p w14:paraId="34EEA62F" w14:textId="77777777" w:rsidR="00315231" w:rsidRPr="00AD633A" w:rsidRDefault="00315231" w:rsidP="00364B8A">
            <w:pPr>
              <w:jc w:val="center"/>
              <w:rPr>
                <w:sz w:val="20"/>
                <w:szCs w:val="20"/>
                <w:lang w:eastAsia="en-US"/>
              </w:rPr>
            </w:pPr>
            <w:r w:rsidRPr="00AD633A">
              <w:rPr>
                <w:sz w:val="20"/>
                <w:szCs w:val="20"/>
                <w:lang w:eastAsia="en-US"/>
              </w:rPr>
              <w:t>3,5</w:t>
            </w:r>
          </w:p>
        </w:tc>
        <w:tc>
          <w:tcPr>
            <w:tcW w:w="682" w:type="pct"/>
            <w:gridSpan w:val="2"/>
            <w:noWrap/>
            <w:vAlign w:val="center"/>
            <w:hideMark/>
          </w:tcPr>
          <w:p w14:paraId="426A23DA" w14:textId="77777777" w:rsidR="00315231" w:rsidRPr="00AD633A" w:rsidRDefault="00315231" w:rsidP="00364B8A">
            <w:pPr>
              <w:jc w:val="center"/>
              <w:rPr>
                <w:sz w:val="20"/>
                <w:szCs w:val="20"/>
                <w:lang w:eastAsia="en-US"/>
              </w:rPr>
            </w:pPr>
            <w:r w:rsidRPr="00AD633A">
              <w:rPr>
                <w:sz w:val="20"/>
                <w:szCs w:val="20"/>
                <w:lang w:eastAsia="en-US"/>
              </w:rPr>
              <w:t>4,5</w:t>
            </w:r>
          </w:p>
        </w:tc>
      </w:tr>
      <w:tr w:rsidR="00315231" w:rsidRPr="00AD633A" w14:paraId="0970441E" w14:textId="77777777" w:rsidTr="00F312A4">
        <w:trPr>
          <w:trHeight w:val="325"/>
        </w:trPr>
        <w:tc>
          <w:tcPr>
            <w:tcW w:w="1260" w:type="pct"/>
            <w:noWrap/>
            <w:vAlign w:val="center"/>
            <w:hideMark/>
          </w:tcPr>
          <w:p w14:paraId="5C1A2493" w14:textId="77777777" w:rsidR="00315231" w:rsidRPr="00AD633A" w:rsidRDefault="00315231" w:rsidP="00364B8A">
            <w:pPr>
              <w:rPr>
                <w:sz w:val="20"/>
                <w:szCs w:val="20"/>
                <w:lang w:eastAsia="en-US"/>
              </w:rPr>
            </w:pPr>
            <w:r w:rsidRPr="00AD633A">
              <w:rPr>
                <w:sz w:val="20"/>
                <w:szCs w:val="20"/>
                <w:lang w:eastAsia="en-US"/>
              </w:rPr>
              <w:t>Medie</w:t>
            </w:r>
          </w:p>
        </w:tc>
        <w:tc>
          <w:tcPr>
            <w:tcW w:w="319" w:type="pct"/>
            <w:noWrap/>
            <w:vAlign w:val="center"/>
            <w:hideMark/>
          </w:tcPr>
          <w:p w14:paraId="71FA1169" w14:textId="77777777" w:rsidR="00315231" w:rsidRPr="00AD633A" w:rsidRDefault="00315231" w:rsidP="00364B8A">
            <w:pPr>
              <w:jc w:val="center"/>
              <w:rPr>
                <w:sz w:val="20"/>
                <w:szCs w:val="20"/>
                <w:lang w:eastAsia="en-US"/>
              </w:rPr>
            </w:pPr>
            <w:r w:rsidRPr="00AD633A">
              <w:rPr>
                <w:sz w:val="20"/>
                <w:szCs w:val="20"/>
                <w:lang w:eastAsia="en-US"/>
              </w:rPr>
              <w:t>4,0</w:t>
            </w:r>
          </w:p>
        </w:tc>
        <w:tc>
          <w:tcPr>
            <w:tcW w:w="690" w:type="pct"/>
            <w:noWrap/>
            <w:vAlign w:val="center"/>
            <w:hideMark/>
          </w:tcPr>
          <w:p w14:paraId="217AEC92" w14:textId="77777777" w:rsidR="00315231" w:rsidRPr="00AD633A" w:rsidRDefault="00315231" w:rsidP="00364B8A">
            <w:pPr>
              <w:jc w:val="center"/>
              <w:rPr>
                <w:sz w:val="20"/>
                <w:szCs w:val="20"/>
                <w:lang w:eastAsia="en-US"/>
              </w:rPr>
            </w:pPr>
            <w:r w:rsidRPr="00AD633A">
              <w:rPr>
                <w:sz w:val="20"/>
                <w:szCs w:val="20"/>
                <w:lang w:eastAsia="en-US"/>
              </w:rPr>
              <w:t>3,8</w:t>
            </w:r>
          </w:p>
        </w:tc>
        <w:tc>
          <w:tcPr>
            <w:tcW w:w="680" w:type="pct"/>
            <w:gridSpan w:val="2"/>
            <w:noWrap/>
            <w:vAlign w:val="center"/>
            <w:hideMark/>
          </w:tcPr>
          <w:p w14:paraId="03D26799" w14:textId="77777777" w:rsidR="00315231" w:rsidRPr="00AD633A" w:rsidRDefault="00315231" w:rsidP="00364B8A">
            <w:pPr>
              <w:jc w:val="center"/>
              <w:rPr>
                <w:sz w:val="20"/>
                <w:szCs w:val="20"/>
                <w:lang w:eastAsia="en-US"/>
              </w:rPr>
            </w:pPr>
            <w:r w:rsidRPr="00AD633A">
              <w:rPr>
                <w:sz w:val="20"/>
                <w:szCs w:val="20"/>
                <w:lang w:eastAsia="en-US"/>
              </w:rPr>
              <w:t>4,9</w:t>
            </w:r>
          </w:p>
        </w:tc>
        <w:tc>
          <w:tcPr>
            <w:tcW w:w="677" w:type="pct"/>
            <w:noWrap/>
            <w:vAlign w:val="center"/>
            <w:hideMark/>
          </w:tcPr>
          <w:p w14:paraId="39DD01CB" w14:textId="77777777" w:rsidR="00315231" w:rsidRPr="00AD633A" w:rsidRDefault="00315231" w:rsidP="00364B8A">
            <w:pPr>
              <w:jc w:val="center"/>
              <w:rPr>
                <w:sz w:val="20"/>
                <w:szCs w:val="20"/>
                <w:lang w:eastAsia="en-US"/>
              </w:rPr>
            </w:pPr>
            <w:r w:rsidRPr="00AD633A">
              <w:rPr>
                <w:sz w:val="20"/>
                <w:szCs w:val="20"/>
                <w:lang w:eastAsia="en-US"/>
              </w:rPr>
              <w:t>1,9</w:t>
            </w:r>
          </w:p>
        </w:tc>
        <w:tc>
          <w:tcPr>
            <w:tcW w:w="690" w:type="pct"/>
            <w:noWrap/>
            <w:vAlign w:val="center"/>
            <w:hideMark/>
          </w:tcPr>
          <w:p w14:paraId="6E9A9ED6" w14:textId="77777777" w:rsidR="00315231" w:rsidRPr="00AD633A" w:rsidRDefault="00315231" w:rsidP="00364B8A">
            <w:pPr>
              <w:jc w:val="center"/>
              <w:rPr>
                <w:sz w:val="20"/>
                <w:szCs w:val="20"/>
                <w:lang w:eastAsia="en-US"/>
              </w:rPr>
            </w:pPr>
            <w:r w:rsidRPr="00AD633A">
              <w:rPr>
                <w:sz w:val="20"/>
                <w:szCs w:val="20"/>
                <w:lang w:eastAsia="en-US"/>
              </w:rPr>
              <w:t>2,0</w:t>
            </w:r>
          </w:p>
        </w:tc>
        <w:tc>
          <w:tcPr>
            <w:tcW w:w="682" w:type="pct"/>
            <w:gridSpan w:val="2"/>
            <w:noWrap/>
            <w:vAlign w:val="center"/>
            <w:hideMark/>
          </w:tcPr>
          <w:p w14:paraId="3CCC6CA1" w14:textId="77777777" w:rsidR="00315231" w:rsidRPr="00AD633A" w:rsidRDefault="00315231" w:rsidP="00364B8A">
            <w:pPr>
              <w:jc w:val="center"/>
              <w:rPr>
                <w:sz w:val="20"/>
                <w:szCs w:val="20"/>
                <w:lang w:eastAsia="en-US"/>
              </w:rPr>
            </w:pPr>
            <w:r w:rsidRPr="00AD633A">
              <w:rPr>
                <w:sz w:val="20"/>
                <w:szCs w:val="20"/>
                <w:lang w:eastAsia="en-US"/>
              </w:rPr>
              <w:t>3,2</w:t>
            </w:r>
          </w:p>
        </w:tc>
      </w:tr>
      <w:tr w:rsidR="00315231" w:rsidRPr="00AD633A" w14:paraId="1D6CFA0E" w14:textId="77777777" w:rsidTr="00F312A4">
        <w:trPr>
          <w:trHeight w:val="325"/>
        </w:trPr>
        <w:tc>
          <w:tcPr>
            <w:tcW w:w="1260" w:type="pct"/>
            <w:tcBorders>
              <w:top w:val="nil"/>
              <w:left w:val="nil"/>
              <w:bottom w:val="single" w:sz="4" w:space="0" w:color="auto"/>
              <w:right w:val="nil"/>
            </w:tcBorders>
            <w:noWrap/>
            <w:vAlign w:val="center"/>
            <w:hideMark/>
          </w:tcPr>
          <w:p w14:paraId="32F1EE65" w14:textId="77777777" w:rsidR="00315231" w:rsidRPr="00AD633A" w:rsidRDefault="00315231" w:rsidP="00364B8A">
            <w:pPr>
              <w:rPr>
                <w:sz w:val="20"/>
                <w:szCs w:val="20"/>
                <w:lang w:eastAsia="en-US"/>
              </w:rPr>
            </w:pPr>
            <w:r w:rsidRPr="00AD633A">
              <w:rPr>
                <w:sz w:val="20"/>
                <w:szCs w:val="20"/>
                <w:lang w:eastAsia="en-US"/>
              </w:rPr>
              <w:t>Grandi</w:t>
            </w:r>
          </w:p>
        </w:tc>
        <w:tc>
          <w:tcPr>
            <w:tcW w:w="319" w:type="pct"/>
            <w:tcBorders>
              <w:top w:val="nil"/>
              <w:left w:val="nil"/>
              <w:bottom w:val="single" w:sz="4" w:space="0" w:color="auto"/>
              <w:right w:val="nil"/>
            </w:tcBorders>
            <w:noWrap/>
            <w:vAlign w:val="center"/>
            <w:hideMark/>
          </w:tcPr>
          <w:p w14:paraId="065354B6" w14:textId="77777777" w:rsidR="00315231" w:rsidRPr="00AD633A" w:rsidRDefault="00315231" w:rsidP="00364B8A">
            <w:pPr>
              <w:jc w:val="center"/>
              <w:rPr>
                <w:sz w:val="20"/>
                <w:szCs w:val="20"/>
                <w:lang w:eastAsia="en-US"/>
              </w:rPr>
            </w:pPr>
            <w:r w:rsidRPr="00AD633A">
              <w:rPr>
                <w:sz w:val="20"/>
                <w:szCs w:val="20"/>
                <w:lang w:eastAsia="en-US"/>
              </w:rPr>
              <w:t>2,6</w:t>
            </w:r>
          </w:p>
        </w:tc>
        <w:tc>
          <w:tcPr>
            <w:tcW w:w="690" w:type="pct"/>
            <w:tcBorders>
              <w:top w:val="nil"/>
              <w:left w:val="nil"/>
              <w:bottom w:val="single" w:sz="4" w:space="0" w:color="auto"/>
              <w:right w:val="nil"/>
            </w:tcBorders>
            <w:noWrap/>
            <w:vAlign w:val="center"/>
            <w:hideMark/>
          </w:tcPr>
          <w:p w14:paraId="45E5908D" w14:textId="77777777" w:rsidR="00315231" w:rsidRPr="00AD633A" w:rsidRDefault="00315231" w:rsidP="00364B8A">
            <w:pPr>
              <w:jc w:val="center"/>
              <w:rPr>
                <w:sz w:val="20"/>
                <w:szCs w:val="20"/>
                <w:lang w:eastAsia="en-US"/>
              </w:rPr>
            </w:pPr>
            <w:r w:rsidRPr="00AD633A">
              <w:rPr>
                <w:sz w:val="20"/>
                <w:szCs w:val="20"/>
                <w:lang w:eastAsia="en-US"/>
              </w:rPr>
              <w:t>2,6</w:t>
            </w:r>
          </w:p>
        </w:tc>
        <w:tc>
          <w:tcPr>
            <w:tcW w:w="680" w:type="pct"/>
            <w:gridSpan w:val="2"/>
            <w:tcBorders>
              <w:top w:val="nil"/>
              <w:left w:val="nil"/>
              <w:bottom w:val="single" w:sz="4" w:space="0" w:color="auto"/>
              <w:right w:val="nil"/>
            </w:tcBorders>
            <w:noWrap/>
            <w:vAlign w:val="center"/>
            <w:hideMark/>
          </w:tcPr>
          <w:p w14:paraId="12E7412D" w14:textId="77777777" w:rsidR="00315231" w:rsidRPr="00AD633A" w:rsidRDefault="00315231" w:rsidP="00364B8A">
            <w:pPr>
              <w:jc w:val="center"/>
              <w:rPr>
                <w:sz w:val="20"/>
                <w:szCs w:val="20"/>
                <w:lang w:eastAsia="en-US"/>
              </w:rPr>
            </w:pPr>
            <w:r w:rsidRPr="00AD633A">
              <w:rPr>
                <w:sz w:val="20"/>
                <w:szCs w:val="20"/>
                <w:lang w:eastAsia="en-US"/>
              </w:rPr>
              <w:t>3,9</w:t>
            </w:r>
          </w:p>
        </w:tc>
        <w:tc>
          <w:tcPr>
            <w:tcW w:w="677" w:type="pct"/>
            <w:tcBorders>
              <w:top w:val="nil"/>
              <w:left w:val="nil"/>
              <w:bottom w:val="single" w:sz="4" w:space="0" w:color="auto"/>
              <w:right w:val="nil"/>
            </w:tcBorders>
            <w:noWrap/>
            <w:vAlign w:val="center"/>
            <w:hideMark/>
          </w:tcPr>
          <w:p w14:paraId="4CBC078E" w14:textId="77777777" w:rsidR="00315231" w:rsidRPr="00AD633A" w:rsidRDefault="00315231" w:rsidP="00364B8A">
            <w:pPr>
              <w:jc w:val="center"/>
              <w:rPr>
                <w:sz w:val="20"/>
                <w:szCs w:val="20"/>
                <w:lang w:eastAsia="en-US"/>
              </w:rPr>
            </w:pPr>
            <w:r w:rsidRPr="00AD633A">
              <w:rPr>
                <w:sz w:val="20"/>
                <w:szCs w:val="20"/>
                <w:lang w:eastAsia="en-US"/>
              </w:rPr>
              <w:t>1,2</w:t>
            </w:r>
          </w:p>
        </w:tc>
        <w:tc>
          <w:tcPr>
            <w:tcW w:w="690" w:type="pct"/>
            <w:tcBorders>
              <w:top w:val="nil"/>
              <w:left w:val="nil"/>
              <w:bottom w:val="single" w:sz="4" w:space="0" w:color="auto"/>
              <w:right w:val="nil"/>
            </w:tcBorders>
            <w:noWrap/>
            <w:vAlign w:val="center"/>
            <w:hideMark/>
          </w:tcPr>
          <w:p w14:paraId="647AB2DE" w14:textId="77777777" w:rsidR="00315231" w:rsidRPr="00AD633A" w:rsidRDefault="00315231" w:rsidP="00364B8A">
            <w:pPr>
              <w:jc w:val="center"/>
              <w:rPr>
                <w:sz w:val="20"/>
                <w:szCs w:val="20"/>
                <w:lang w:eastAsia="en-US"/>
              </w:rPr>
            </w:pPr>
            <w:r w:rsidRPr="00AD633A">
              <w:rPr>
                <w:sz w:val="20"/>
                <w:szCs w:val="20"/>
                <w:lang w:eastAsia="en-US"/>
              </w:rPr>
              <w:t>1,1</w:t>
            </w:r>
          </w:p>
        </w:tc>
        <w:tc>
          <w:tcPr>
            <w:tcW w:w="682" w:type="pct"/>
            <w:gridSpan w:val="2"/>
            <w:tcBorders>
              <w:top w:val="nil"/>
              <w:left w:val="nil"/>
              <w:bottom w:val="single" w:sz="4" w:space="0" w:color="auto"/>
              <w:right w:val="nil"/>
            </w:tcBorders>
            <w:noWrap/>
            <w:vAlign w:val="center"/>
            <w:hideMark/>
          </w:tcPr>
          <w:p w14:paraId="522CD826" w14:textId="77777777" w:rsidR="00315231" w:rsidRPr="00AD633A" w:rsidRDefault="00315231" w:rsidP="00364B8A">
            <w:pPr>
              <w:jc w:val="center"/>
              <w:rPr>
                <w:sz w:val="20"/>
                <w:szCs w:val="20"/>
                <w:lang w:eastAsia="en-US"/>
              </w:rPr>
            </w:pPr>
            <w:r w:rsidRPr="00AD633A">
              <w:rPr>
                <w:sz w:val="20"/>
                <w:szCs w:val="20"/>
                <w:lang w:eastAsia="en-US"/>
              </w:rPr>
              <w:t>2,4</w:t>
            </w:r>
          </w:p>
        </w:tc>
      </w:tr>
    </w:tbl>
    <w:p w14:paraId="1711B097" w14:textId="4EE03555" w:rsidR="00492682" w:rsidRPr="004B3CAA" w:rsidRDefault="00492682" w:rsidP="00F312A4">
      <w:pPr>
        <w:spacing w:before="120"/>
        <w:jc w:val="both"/>
        <w:rPr>
          <w:b/>
          <w:bCs/>
          <w:sz w:val="20"/>
          <w:szCs w:val="20"/>
        </w:rPr>
      </w:pPr>
    </w:p>
    <w:sectPr w:rsidR="00492682" w:rsidRPr="004B3C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761C8"/>
    <w:multiLevelType w:val="hybridMultilevel"/>
    <w:tmpl w:val="1B560C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60257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82"/>
    <w:rsid w:val="00006AF7"/>
    <w:rsid w:val="00051671"/>
    <w:rsid w:val="00086859"/>
    <w:rsid w:val="00170D4F"/>
    <w:rsid w:val="001C5E48"/>
    <w:rsid w:val="00257531"/>
    <w:rsid w:val="002743DA"/>
    <w:rsid w:val="002E2F4B"/>
    <w:rsid w:val="00315231"/>
    <w:rsid w:val="003B0904"/>
    <w:rsid w:val="00451CB2"/>
    <w:rsid w:val="00471DBD"/>
    <w:rsid w:val="00492682"/>
    <w:rsid w:val="004A2208"/>
    <w:rsid w:val="004B3CAA"/>
    <w:rsid w:val="00513052"/>
    <w:rsid w:val="00515F1E"/>
    <w:rsid w:val="006046F7"/>
    <w:rsid w:val="00644AFA"/>
    <w:rsid w:val="007217B9"/>
    <w:rsid w:val="00765EDE"/>
    <w:rsid w:val="007E7F21"/>
    <w:rsid w:val="00833776"/>
    <w:rsid w:val="009B54B5"/>
    <w:rsid w:val="00AD633A"/>
    <w:rsid w:val="00B62D42"/>
    <w:rsid w:val="00B744E2"/>
    <w:rsid w:val="00B8630D"/>
    <w:rsid w:val="00BF6A4F"/>
    <w:rsid w:val="00C6742F"/>
    <w:rsid w:val="00C96CC0"/>
    <w:rsid w:val="00D416A5"/>
    <w:rsid w:val="00DC6B76"/>
    <w:rsid w:val="00E24E1A"/>
    <w:rsid w:val="00E32990"/>
    <w:rsid w:val="00E34758"/>
    <w:rsid w:val="00E46816"/>
    <w:rsid w:val="00ED1F3A"/>
    <w:rsid w:val="00F31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8C20"/>
  <w15:chartTrackingRefBased/>
  <w15:docId w15:val="{3ED0F6A4-8255-4E73-9B32-637B06DB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268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92682"/>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92682"/>
    <w:pPr>
      <w:ind w:left="720"/>
    </w:pPr>
    <w:rPr>
      <w:rFonts w:ascii="Calibri" w:eastAsiaTheme="minorHAnsi" w:hAnsi="Calibri" w:cs="Calibri"/>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49165">
      <w:bodyDiv w:val="1"/>
      <w:marLeft w:val="0"/>
      <w:marRight w:val="0"/>
      <w:marTop w:val="0"/>
      <w:marBottom w:val="0"/>
      <w:divBdr>
        <w:top w:val="none" w:sz="0" w:space="0" w:color="auto"/>
        <w:left w:val="none" w:sz="0" w:space="0" w:color="auto"/>
        <w:bottom w:val="none" w:sz="0" w:space="0" w:color="auto"/>
        <w:right w:val="none" w:sz="0" w:space="0" w:color="auto"/>
      </w:divBdr>
    </w:div>
    <w:div w:id="1616793835">
      <w:bodyDiv w:val="1"/>
      <w:marLeft w:val="0"/>
      <w:marRight w:val="0"/>
      <w:marTop w:val="0"/>
      <w:marBottom w:val="0"/>
      <w:divBdr>
        <w:top w:val="none" w:sz="0" w:space="0" w:color="auto"/>
        <w:left w:val="none" w:sz="0" w:space="0" w:color="auto"/>
        <w:bottom w:val="none" w:sz="0" w:space="0" w:color="auto"/>
        <w:right w:val="none" w:sz="0" w:space="0" w:color="auto"/>
      </w:divBdr>
    </w:div>
    <w:div w:id="19214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0A6B.B05642F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fcooperativ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1371</Words>
  <Characters>7821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Giancarmine Vicinanza</dc:creator>
  <cp:keywords/>
  <dc:description/>
  <cp:lastModifiedBy>Giancarmine Vicinanza</cp:lastModifiedBy>
  <cp:revision>28</cp:revision>
  <cp:lastPrinted>2023-07-25T11:09:00Z</cp:lastPrinted>
  <dcterms:created xsi:type="dcterms:W3CDTF">2023-07-25T09:44:00Z</dcterms:created>
  <dcterms:modified xsi:type="dcterms:W3CDTF">2023-07-26T13:50:00Z</dcterms:modified>
</cp:coreProperties>
</file>